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E2" w:rsidRDefault="00C11DE2" w:rsidP="00C11DE2">
      <w:pPr>
        <w:spacing w:after="0" w:line="240" w:lineRule="auto"/>
        <w:ind w:left="720"/>
        <w:contextualSpacing/>
        <w:jc w:val="right"/>
        <w:rPr>
          <w:rFonts w:ascii="Arial" w:hAnsi="Arial" w:cs="Arial"/>
          <w:sz w:val="24"/>
          <w:szCs w:val="24"/>
        </w:rPr>
      </w:pPr>
    </w:p>
    <w:p w:rsidR="00C11DE2" w:rsidRDefault="00C11DE2" w:rsidP="00C11DE2">
      <w:pPr>
        <w:spacing w:after="0" w:line="240" w:lineRule="auto"/>
        <w:ind w:left="720"/>
        <w:contextualSpacing/>
        <w:rPr>
          <w:rFonts w:ascii="Arial" w:hAnsi="Arial" w:cs="Arial"/>
          <w:b/>
          <w:bCs/>
          <w:sz w:val="20"/>
        </w:rPr>
      </w:pPr>
    </w:p>
    <w:p w:rsidR="00C11DE2" w:rsidRPr="00846B9D" w:rsidRDefault="00C11DE2" w:rsidP="00C11DE2">
      <w:pPr>
        <w:spacing w:after="0" w:line="240" w:lineRule="auto"/>
        <w:ind w:left="720"/>
        <w:contextualSpacing/>
        <w:rPr>
          <w:rFonts w:ascii="Arial" w:hAnsi="Arial" w:cs="Arial"/>
          <w:b/>
          <w:bCs/>
          <w:sz w:val="20"/>
        </w:rPr>
      </w:pPr>
      <w:r w:rsidRPr="00846B9D">
        <w:rPr>
          <w:rFonts w:ascii="Arial" w:hAnsi="Arial" w:cs="Arial"/>
          <w:b/>
          <w:bCs/>
          <w:sz w:val="20"/>
        </w:rPr>
        <w:t>No: RTI/2011/010018032</w:t>
      </w:r>
    </w:p>
    <w:p w:rsidR="00C11DE2" w:rsidRPr="00846B9D" w:rsidRDefault="00C11DE2" w:rsidP="00C11DE2">
      <w:pPr>
        <w:spacing w:after="0" w:line="240" w:lineRule="auto"/>
        <w:ind w:left="720"/>
        <w:contextualSpacing/>
        <w:rPr>
          <w:rFonts w:ascii="Arial" w:hAnsi="Arial" w:cs="Arial"/>
          <w:b/>
          <w:bCs/>
          <w:sz w:val="20"/>
        </w:rPr>
      </w:pPr>
      <w:r w:rsidRPr="00846B9D">
        <w:rPr>
          <w:rFonts w:ascii="Arial" w:hAnsi="Arial" w:cs="Arial"/>
          <w:b/>
          <w:bCs/>
          <w:sz w:val="20"/>
        </w:rPr>
        <w:t xml:space="preserve"> </w:t>
      </w:r>
    </w:p>
    <w:p w:rsidR="00C11DE2" w:rsidRPr="00846B9D" w:rsidRDefault="00C11DE2" w:rsidP="00C11DE2">
      <w:pPr>
        <w:spacing w:after="0" w:line="240" w:lineRule="auto"/>
        <w:ind w:left="720"/>
        <w:contextualSpacing/>
        <w:rPr>
          <w:rFonts w:ascii="Arial" w:hAnsi="Arial" w:cs="Arial"/>
          <w:sz w:val="20"/>
        </w:rPr>
      </w:pPr>
      <w:r w:rsidRPr="00846B9D">
        <w:rPr>
          <w:rFonts w:ascii="Arial" w:hAnsi="Arial" w:cs="Arial"/>
          <w:b/>
          <w:bCs/>
          <w:sz w:val="20"/>
        </w:rPr>
        <w:t xml:space="preserve">             </w:t>
      </w:r>
      <w:r w:rsidRPr="00846B9D">
        <w:rPr>
          <w:rFonts w:ascii="Arial" w:hAnsi="Arial" w:cs="Arial"/>
          <w:sz w:val="20"/>
        </w:rPr>
        <w:t xml:space="preserve">Sub:  Information sought by </w:t>
      </w:r>
      <w:proofErr w:type="spellStart"/>
      <w:r w:rsidRPr="00846B9D">
        <w:rPr>
          <w:rFonts w:ascii="Arial" w:hAnsi="Arial" w:cs="Arial"/>
          <w:sz w:val="20"/>
        </w:rPr>
        <w:t>Shri</w:t>
      </w:r>
      <w:proofErr w:type="spellEnd"/>
      <w:r w:rsidRPr="00846B9D">
        <w:rPr>
          <w:rFonts w:ascii="Arial" w:hAnsi="Arial" w:cs="Arial"/>
          <w:sz w:val="20"/>
        </w:rPr>
        <w:t xml:space="preserve"> S.K. </w:t>
      </w:r>
      <w:proofErr w:type="spellStart"/>
      <w:r w:rsidRPr="00846B9D">
        <w:rPr>
          <w:rFonts w:ascii="Arial" w:hAnsi="Arial" w:cs="Arial"/>
          <w:sz w:val="20"/>
        </w:rPr>
        <w:t>Bansal</w:t>
      </w:r>
      <w:proofErr w:type="spellEnd"/>
      <w:r w:rsidRPr="00846B9D">
        <w:rPr>
          <w:rFonts w:ascii="Arial" w:hAnsi="Arial" w:cs="Arial"/>
          <w:sz w:val="20"/>
        </w:rPr>
        <w:t>.</w:t>
      </w:r>
    </w:p>
    <w:p w:rsidR="00C11DE2" w:rsidRPr="00846B9D" w:rsidRDefault="00C11DE2" w:rsidP="00C11DE2">
      <w:pPr>
        <w:spacing w:after="0" w:line="240" w:lineRule="auto"/>
        <w:ind w:left="720"/>
        <w:contextualSpacing/>
        <w:rPr>
          <w:rFonts w:ascii="Arial" w:hAnsi="Arial" w:cs="Arial"/>
          <w:sz w:val="20"/>
        </w:rPr>
      </w:pPr>
    </w:p>
    <w:p w:rsidR="00C11DE2" w:rsidRPr="00846B9D" w:rsidRDefault="00C11DE2" w:rsidP="00C11DE2">
      <w:pPr>
        <w:spacing w:after="0" w:line="240" w:lineRule="auto"/>
        <w:ind w:left="720"/>
        <w:contextualSpacing/>
        <w:rPr>
          <w:rFonts w:ascii="Arial" w:hAnsi="Arial" w:cs="Arial"/>
          <w:sz w:val="20"/>
        </w:rPr>
      </w:pPr>
      <w:r w:rsidRPr="00846B9D">
        <w:rPr>
          <w:rFonts w:ascii="Arial" w:hAnsi="Arial" w:cs="Arial"/>
          <w:sz w:val="20"/>
        </w:rPr>
        <w:t xml:space="preserve">             Ref:  Case No. RB/RTI Cell/2010/</w:t>
      </w:r>
      <w:proofErr w:type="gramStart"/>
      <w:r w:rsidRPr="00846B9D">
        <w:rPr>
          <w:rFonts w:ascii="Arial" w:hAnsi="Arial" w:cs="Arial"/>
          <w:sz w:val="20"/>
        </w:rPr>
        <w:t>010018032  seeking</w:t>
      </w:r>
      <w:proofErr w:type="gramEnd"/>
      <w:r w:rsidRPr="00846B9D">
        <w:rPr>
          <w:rFonts w:ascii="Arial" w:hAnsi="Arial" w:cs="Arial"/>
          <w:sz w:val="20"/>
        </w:rPr>
        <w:t xml:space="preserve"> information </w:t>
      </w:r>
    </w:p>
    <w:p w:rsidR="00C11DE2" w:rsidRPr="00846B9D" w:rsidRDefault="00C11DE2" w:rsidP="00C11DE2">
      <w:pPr>
        <w:spacing w:after="0" w:line="240" w:lineRule="auto"/>
        <w:ind w:left="720"/>
        <w:contextualSpacing/>
        <w:rPr>
          <w:rFonts w:ascii="Arial" w:hAnsi="Arial" w:cs="Arial"/>
          <w:sz w:val="20"/>
        </w:rPr>
      </w:pPr>
      <w:r w:rsidRPr="00846B9D">
        <w:rPr>
          <w:rFonts w:ascii="Arial" w:hAnsi="Arial" w:cs="Arial"/>
          <w:sz w:val="20"/>
        </w:rPr>
        <w:t xml:space="preserve">                      </w:t>
      </w:r>
      <w:proofErr w:type="gramStart"/>
      <w:r w:rsidRPr="00846B9D">
        <w:rPr>
          <w:rFonts w:ascii="Arial" w:hAnsi="Arial" w:cs="Arial"/>
          <w:sz w:val="20"/>
        </w:rPr>
        <w:t>under</w:t>
      </w:r>
      <w:proofErr w:type="gramEnd"/>
      <w:r w:rsidRPr="00846B9D">
        <w:rPr>
          <w:rFonts w:ascii="Arial" w:hAnsi="Arial" w:cs="Arial"/>
          <w:sz w:val="20"/>
        </w:rPr>
        <w:t xml:space="preserve"> the RTI Act.</w:t>
      </w:r>
    </w:p>
    <w:p w:rsidR="00C11DE2" w:rsidRPr="00846B9D" w:rsidRDefault="00C11DE2" w:rsidP="00C11DE2">
      <w:pPr>
        <w:spacing w:after="0" w:line="240" w:lineRule="auto"/>
        <w:ind w:left="720"/>
        <w:contextualSpacing/>
        <w:rPr>
          <w:rFonts w:ascii="Arial" w:hAnsi="Arial" w:cs="Arial"/>
          <w:sz w:val="20"/>
        </w:rPr>
      </w:pPr>
    </w:p>
    <w:tbl>
      <w:tblPr>
        <w:tblStyle w:val="TableGrid"/>
        <w:tblW w:w="9288" w:type="dxa"/>
        <w:tblInd w:w="720" w:type="dxa"/>
        <w:tblLayout w:type="fixed"/>
        <w:tblLook w:val="04A0"/>
      </w:tblPr>
      <w:tblGrid>
        <w:gridCol w:w="900"/>
        <w:gridCol w:w="882"/>
        <w:gridCol w:w="3252"/>
        <w:gridCol w:w="3444"/>
        <w:gridCol w:w="810"/>
      </w:tblGrid>
      <w:tr w:rsidR="00C11DE2" w:rsidRPr="00846B9D" w:rsidTr="00AD4BD8">
        <w:tc>
          <w:tcPr>
            <w:tcW w:w="900" w:type="dxa"/>
          </w:tcPr>
          <w:p w:rsidR="00C11DE2" w:rsidRPr="00846B9D" w:rsidRDefault="00C11DE2" w:rsidP="00AD4BD8">
            <w:pPr>
              <w:contextualSpacing/>
              <w:rPr>
                <w:rFonts w:ascii="Arial" w:hAnsi="Arial" w:cs="Arial"/>
                <w:sz w:val="20"/>
              </w:rPr>
            </w:pPr>
            <w:proofErr w:type="spellStart"/>
            <w:r w:rsidRPr="00846B9D">
              <w:rPr>
                <w:rFonts w:ascii="Arial" w:hAnsi="Arial" w:cs="Arial"/>
                <w:sz w:val="20"/>
              </w:rPr>
              <w:t>S.No</w:t>
            </w:r>
            <w:proofErr w:type="spellEnd"/>
            <w:r w:rsidRPr="00846B9D">
              <w:rPr>
                <w:rFonts w:ascii="Arial" w:hAnsi="Arial" w:cs="Arial"/>
                <w:sz w:val="20"/>
              </w:rPr>
              <w:t>.</w:t>
            </w:r>
          </w:p>
        </w:tc>
        <w:tc>
          <w:tcPr>
            <w:tcW w:w="882" w:type="dxa"/>
          </w:tcPr>
          <w:p w:rsidR="00C11DE2" w:rsidRPr="00846B9D" w:rsidRDefault="00C11DE2" w:rsidP="00AD4BD8">
            <w:pPr>
              <w:contextualSpacing/>
              <w:rPr>
                <w:rFonts w:ascii="Arial" w:hAnsi="Arial" w:cs="Arial"/>
                <w:sz w:val="20"/>
              </w:rPr>
            </w:pPr>
            <w:r w:rsidRPr="00846B9D">
              <w:rPr>
                <w:rFonts w:ascii="Arial" w:hAnsi="Arial" w:cs="Arial"/>
                <w:sz w:val="20"/>
              </w:rPr>
              <w:t>Item No(s)</w:t>
            </w:r>
          </w:p>
        </w:tc>
        <w:tc>
          <w:tcPr>
            <w:tcW w:w="3252" w:type="dxa"/>
          </w:tcPr>
          <w:p w:rsidR="00C11DE2" w:rsidRPr="00846B9D" w:rsidRDefault="00C11DE2" w:rsidP="00AD4BD8">
            <w:pPr>
              <w:contextualSpacing/>
              <w:rPr>
                <w:rFonts w:ascii="Arial" w:hAnsi="Arial" w:cs="Arial"/>
                <w:sz w:val="20"/>
              </w:rPr>
            </w:pPr>
            <w:r w:rsidRPr="00846B9D">
              <w:rPr>
                <w:rFonts w:ascii="Arial" w:hAnsi="Arial" w:cs="Arial"/>
                <w:sz w:val="20"/>
              </w:rPr>
              <w:t>Information sought by the Party</w:t>
            </w:r>
          </w:p>
        </w:tc>
        <w:tc>
          <w:tcPr>
            <w:tcW w:w="3444" w:type="dxa"/>
          </w:tcPr>
          <w:p w:rsidR="00C11DE2" w:rsidRPr="00846B9D" w:rsidRDefault="00C11DE2" w:rsidP="00AD4BD8">
            <w:pPr>
              <w:contextualSpacing/>
              <w:rPr>
                <w:rFonts w:ascii="Arial" w:hAnsi="Arial" w:cs="Arial"/>
                <w:sz w:val="20"/>
              </w:rPr>
            </w:pPr>
            <w:r w:rsidRPr="00846B9D">
              <w:rPr>
                <w:rFonts w:ascii="Arial" w:hAnsi="Arial" w:cs="Arial"/>
                <w:sz w:val="20"/>
              </w:rPr>
              <w:t>Ministry’s response (reply text)</w:t>
            </w:r>
          </w:p>
        </w:tc>
        <w:tc>
          <w:tcPr>
            <w:tcW w:w="810" w:type="dxa"/>
          </w:tcPr>
          <w:p w:rsidR="00C11DE2" w:rsidRPr="00846B9D" w:rsidRDefault="00C11DE2" w:rsidP="00AD4BD8">
            <w:pPr>
              <w:contextualSpacing/>
              <w:rPr>
                <w:rFonts w:ascii="Arial" w:hAnsi="Arial" w:cs="Arial"/>
                <w:sz w:val="20"/>
              </w:rPr>
            </w:pPr>
            <w:r w:rsidRPr="00846B9D">
              <w:rPr>
                <w:rFonts w:ascii="Arial" w:hAnsi="Arial" w:cs="Arial"/>
                <w:sz w:val="20"/>
              </w:rPr>
              <w:t>Annexure (Certificate No. detailed file noting)</w:t>
            </w:r>
          </w:p>
        </w:tc>
      </w:tr>
      <w:tr w:rsidR="00C11DE2" w:rsidRPr="00846B9D" w:rsidTr="00AD4BD8">
        <w:tc>
          <w:tcPr>
            <w:tcW w:w="900" w:type="dxa"/>
          </w:tcPr>
          <w:p w:rsidR="00C11DE2" w:rsidRPr="00846B9D" w:rsidRDefault="00C11DE2" w:rsidP="00AD4BD8">
            <w:pPr>
              <w:contextualSpacing/>
              <w:rPr>
                <w:rFonts w:ascii="Arial" w:hAnsi="Arial" w:cs="Arial"/>
                <w:sz w:val="20"/>
              </w:rPr>
            </w:pPr>
            <w:r w:rsidRPr="00846B9D">
              <w:rPr>
                <w:rFonts w:ascii="Arial" w:hAnsi="Arial" w:cs="Arial"/>
                <w:sz w:val="20"/>
              </w:rPr>
              <w:t>1</w:t>
            </w:r>
          </w:p>
        </w:tc>
        <w:tc>
          <w:tcPr>
            <w:tcW w:w="882" w:type="dxa"/>
          </w:tcPr>
          <w:p w:rsidR="00C11DE2" w:rsidRPr="00846B9D" w:rsidRDefault="00C11DE2" w:rsidP="00AD4BD8">
            <w:pPr>
              <w:contextualSpacing/>
              <w:rPr>
                <w:rFonts w:ascii="Arial" w:hAnsi="Arial" w:cs="Arial"/>
                <w:sz w:val="20"/>
              </w:rPr>
            </w:pPr>
            <w:r w:rsidRPr="00846B9D">
              <w:rPr>
                <w:rFonts w:ascii="Arial" w:hAnsi="Arial" w:cs="Arial"/>
                <w:sz w:val="20"/>
              </w:rPr>
              <w:t>1</w:t>
            </w:r>
          </w:p>
        </w:tc>
        <w:tc>
          <w:tcPr>
            <w:tcW w:w="3252" w:type="dxa"/>
          </w:tcPr>
          <w:p w:rsidR="00C11DE2" w:rsidRPr="00846B9D" w:rsidRDefault="00C11DE2" w:rsidP="00AD4BD8">
            <w:pPr>
              <w:contextualSpacing/>
              <w:jc w:val="both"/>
              <w:rPr>
                <w:rFonts w:ascii="Arial" w:hAnsi="Arial" w:cs="Arial"/>
                <w:sz w:val="20"/>
              </w:rPr>
            </w:pPr>
            <w:r w:rsidRPr="00846B9D">
              <w:rPr>
                <w:rFonts w:ascii="Arial" w:hAnsi="Arial" w:cs="Arial"/>
                <w:sz w:val="20"/>
              </w:rPr>
              <w:t xml:space="preserve">Whether it is a fact that that DPC for these years had to be reviewed in the year 2009, due to the fact that few SE </w:t>
            </w:r>
            <w:proofErr w:type="spellStart"/>
            <w:r w:rsidRPr="00846B9D">
              <w:rPr>
                <w:rFonts w:ascii="Arial" w:hAnsi="Arial" w:cs="Arial"/>
                <w:sz w:val="20"/>
              </w:rPr>
              <w:t>Rly</w:t>
            </w:r>
            <w:proofErr w:type="spellEnd"/>
            <w:r w:rsidRPr="00846B9D">
              <w:rPr>
                <w:rFonts w:ascii="Arial" w:hAnsi="Arial" w:cs="Arial"/>
                <w:sz w:val="20"/>
              </w:rPr>
              <w:t xml:space="preserve"> officers selected in the said panel had to be upgraded to earlier years panel and 3 senior officers of N.rly., were earlier overlooked / not considered for the said DPCs.</w:t>
            </w:r>
          </w:p>
        </w:tc>
        <w:tc>
          <w:tcPr>
            <w:tcW w:w="3444" w:type="dxa"/>
          </w:tcPr>
          <w:p w:rsidR="00C11DE2" w:rsidRPr="00846B9D" w:rsidRDefault="00C11DE2" w:rsidP="00AD4BD8">
            <w:pPr>
              <w:contextualSpacing/>
              <w:jc w:val="both"/>
              <w:rPr>
                <w:rFonts w:ascii="Arial" w:hAnsi="Arial" w:cs="Arial"/>
                <w:sz w:val="20"/>
              </w:rPr>
            </w:pPr>
            <w:r w:rsidRPr="00846B9D">
              <w:rPr>
                <w:rFonts w:ascii="Arial" w:hAnsi="Arial" w:cs="Arial"/>
                <w:sz w:val="20"/>
              </w:rPr>
              <w:t>Information sought has already been furnished in reply to items (ii) to (xii) of the initial applications, vide letter No. RTI Cell/2009/01005399.</w:t>
            </w:r>
          </w:p>
        </w:tc>
        <w:tc>
          <w:tcPr>
            <w:tcW w:w="810" w:type="dxa"/>
          </w:tcPr>
          <w:p w:rsidR="00C11DE2" w:rsidRPr="00846B9D" w:rsidRDefault="00C11DE2" w:rsidP="00AD4BD8">
            <w:pPr>
              <w:contextualSpacing/>
              <w:rPr>
                <w:rFonts w:ascii="Arial" w:hAnsi="Arial" w:cs="Arial"/>
                <w:sz w:val="20"/>
              </w:rPr>
            </w:pPr>
          </w:p>
        </w:tc>
      </w:tr>
      <w:tr w:rsidR="00C11DE2" w:rsidRPr="00846B9D" w:rsidTr="00AD4BD8">
        <w:tc>
          <w:tcPr>
            <w:tcW w:w="900" w:type="dxa"/>
          </w:tcPr>
          <w:p w:rsidR="00C11DE2" w:rsidRPr="00846B9D" w:rsidRDefault="00C11DE2" w:rsidP="00AD4BD8">
            <w:pPr>
              <w:contextualSpacing/>
              <w:rPr>
                <w:rFonts w:ascii="Arial" w:hAnsi="Arial" w:cs="Arial"/>
                <w:sz w:val="20"/>
              </w:rPr>
            </w:pPr>
            <w:r w:rsidRPr="00846B9D">
              <w:rPr>
                <w:rFonts w:ascii="Arial" w:hAnsi="Arial" w:cs="Arial"/>
                <w:sz w:val="20"/>
              </w:rPr>
              <w:t>2</w:t>
            </w:r>
          </w:p>
        </w:tc>
        <w:tc>
          <w:tcPr>
            <w:tcW w:w="882" w:type="dxa"/>
          </w:tcPr>
          <w:p w:rsidR="00C11DE2" w:rsidRPr="00846B9D" w:rsidRDefault="00C11DE2" w:rsidP="00AD4BD8">
            <w:pPr>
              <w:contextualSpacing/>
              <w:rPr>
                <w:rFonts w:ascii="Arial" w:hAnsi="Arial" w:cs="Arial"/>
                <w:sz w:val="20"/>
              </w:rPr>
            </w:pPr>
            <w:r w:rsidRPr="00846B9D">
              <w:rPr>
                <w:rFonts w:ascii="Arial" w:hAnsi="Arial" w:cs="Arial"/>
                <w:sz w:val="20"/>
              </w:rPr>
              <w:t>2</w:t>
            </w:r>
          </w:p>
        </w:tc>
        <w:tc>
          <w:tcPr>
            <w:tcW w:w="3252" w:type="dxa"/>
          </w:tcPr>
          <w:p w:rsidR="00C11DE2" w:rsidRPr="00846B9D" w:rsidRDefault="00C11DE2" w:rsidP="00AD4BD8">
            <w:pPr>
              <w:contextualSpacing/>
              <w:jc w:val="both"/>
              <w:rPr>
                <w:rFonts w:ascii="Arial" w:hAnsi="Arial" w:cs="Arial"/>
                <w:sz w:val="20"/>
              </w:rPr>
            </w:pPr>
            <w:r w:rsidRPr="00846B9D">
              <w:rPr>
                <w:rFonts w:ascii="Arial" w:hAnsi="Arial" w:cs="Arial"/>
                <w:sz w:val="20"/>
              </w:rPr>
              <w:t xml:space="preserve">What was the number of vacancies allotted to SE Railway and N Railway and how many officers were selected against these vacancies from SE Railway and N </w:t>
            </w:r>
            <w:proofErr w:type="spellStart"/>
            <w:r w:rsidRPr="00846B9D">
              <w:rPr>
                <w:rFonts w:ascii="Arial" w:hAnsi="Arial" w:cs="Arial"/>
                <w:sz w:val="20"/>
              </w:rPr>
              <w:t>Rly</w:t>
            </w:r>
            <w:proofErr w:type="spellEnd"/>
            <w:r w:rsidRPr="00846B9D">
              <w:rPr>
                <w:rFonts w:ascii="Arial" w:hAnsi="Arial" w:cs="Arial"/>
                <w:sz w:val="20"/>
              </w:rPr>
              <w:t xml:space="preserve"> before the </w:t>
            </w:r>
            <w:proofErr w:type="gramStart"/>
            <w:r w:rsidRPr="00846B9D">
              <w:rPr>
                <w:rFonts w:ascii="Arial" w:hAnsi="Arial" w:cs="Arial"/>
                <w:sz w:val="20"/>
              </w:rPr>
              <w:t>review.</w:t>
            </w:r>
            <w:proofErr w:type="gramEnd"/>
          </w:p>
        </w:tc>
        <w:tc>
          <w:tcPr>
            <w:tcW w:w="3444" w:type="dxa"/>
          </w:tcPr>
          <w:p w:rsidR="00C11DE2" w:rsidRPr="00846B9D" w:rsidRDefault="00C11DE2" w:rsidP="00AD4BD8">
            <w:pPr>
              <w:contextualSpacing/>
              <w:jc w:val="both"/>
              <w:rPr>
                <w:rFonts w:ascii="Arial" w:hAnsi="Arial" w:cs="Arial"/>
                <w:sz w:val="20"/>
              </w:rPr>
            </w:pPr>
            <w:r w:rsidRPr="00846B9D">
              <w:rPr>
                <w:rFonts w:ascii="Arial" w:hAnsi="Arial" w:cs="Arial"/>
                <w:sz w:val="20"/>
              </w:rPr>
              <w:t>Information regarding number of vacancies allotted to N Railway and S E Railway has already been furnished in reply to item (</w:t>
            </w:r>
            <w:proofErr w:type="spellStart"/>
            <w:r w:rsidRPr="00846B9D">
              <w:rPr>
                <w:rFonts w:ascii="Arial" w:hAnsi="Arial" w:cs="Arial"/>
                <w:sz w:val="20"/>
              </w:rPr>
              <w:t>i</w:t>
            </w:r>
            <w:proofErr w:type="spellEnd"/>
            <w:r w:rsidRPr="00846B9D">
              <w:rPr>
                <w:rFonts w:ascii="Arial" w:hAnsi="Arial" w:cs="Arial"/>
                <w:sz w:val="20"/>
              </w:rPr>
              <w:t>) o the initial application, vide letter No. RTI Cell/2009/01005399.   No. of officers empanelled are:-</w:t>
            </w:r>
          </w:p>
          <w:p w:rsidR="00C11DE2" w:rsidRPr="00846B9D" w:rsidRDefault="00C11DE2" w:rsidP="00AD4BD8">
            <w:pPr>
              <w:contextualSpacing/>
              <w:jc w:val="both"/>
              <w:rPr>
                <w:rFonts w:ascii="Arial" w:hAnsi="Arial" w:cs="Arial"/>
                <w:sz w:val="20"/>
              </w:rPr>
            </w:pPr>
            <w:r w:rsidRPr="00846B9D">
              <w:rPr>
                <w:rFonts w:ascii="Arial" w:hAnsi="Arial" w:cs="Arial"/>
                <w:sz w:val="20"/>
              </w:rPr>
              <w:t>S E Railway – 8 in 2005-06 and 1 in 2006-07.</w:t>
            </w:r>
          </w:p>
          <w:p w:rsidR="00C11DE2" w:rsidRPr="00846B9D" w:rsidRDefault="00C11DE2" w:rsidP="00AD4BD8">
            <w:pPr>
              <w:contextualSpacing/>
              <w:jc w:val="both"/>
              <w:rPr>
                <w:rFonts w:ascii="Arial" w:hAnsi="Arial" w:cs="Arial"/>
                <w:sz w:val="20"/>
              </w:rPr>
            </w:pPr>
            <w:r w:rsidRPr="00846B9D">
              <w:rPr>
                <w:rFonts w:ascii="Arial" w:hAnsi="Arial" w:cs="Arial"/>
                <w:sz w:val="20"/>
              </w:rPr>
              <w:t>N Railway – 11 in 2005-06 and 8 in 2006-07.</w:t>
            </w:r>
          </w:p>
          <w:p w:rsidR="00C11DE2" w:rsidRPr="00846B9D" w:rsidRDefault="00C11DE2" w:rsidP="00AD4BD8">
            <w:pPr>
              <w:contextualSpacing/>
              <w:jc w:val="both"/>
              <w:rPr>
                <w:rFonts w:ascii="Arial" w:hAnsi="Arial" w:cs="Arial"/>
                <w:sz w:val="20"/>
              </w:rPr>
            </w:pPr>
          </w:p>
        </w:tc>
        <w:tc>
          <w:tcPr>
            <w:tcW w:w="810" w:type="dxa"/>
          </w:tcPr>
          <w:p w:rsidR="00C11DE2" w:rsidRPr="00846B9D" w:rsidRDefault="00C11DE2" w:rsidP="00AD4BD8">
            <w:pPr>
              <w:contextualSpacing/>
              <w:rPr>
                <w:rFonts w:ascii="Arial" w:hAnsi="Arial" w:cs="Arial"/>
                <w:sz w:val="20"/>
              </w:rPr>
            </w:pPr>
          </w:p>
        </w:tc>
      </w:tr>
      <w:tr w:rsidR="00C11DE2" w:rsidRPr="00846B9D" w:rsidTr="00AD4BD8">
        <w:tc>
          <w:tcPr>
            <w:tcW w:w="900" w:type="dxa"/>
          </w:tcPr>
          <w:p w:rsidR="00C11DE2" w:rsidRPr="00846B9D" w:rsidRDefault="00C11DE2" w:rsidP="00AD4BD8">
            <w:pPr>
              <w:contextualSpacing/>
              <w:rPr>
                <w:rFonts w:ascii="Arial" w:hAnsi="Arial" w:cs="Arial"/>
                <w:sz w:val="20"/>
              </w:rPr>
            </w:pPr>
            <w:r w:rsidRPr="00846B9D">
              <w:rPr>
                <w:rFonts w:ascii="Arial" w:hAnsi="Arial" w:cs="Arial"/>
                <w:sz w:val="20"/>
              </w:rPr>
              <w:t>3</w:t>
            </w:r>
          </w:p>
        </w:tc>
        <w:tc>
          <w:tcPr>
            <w:tcW w:w="882" w:type="dxa"/>
          </w:tcPr>
          <w:p w:rsidR="00C11DE2" w:rsidRPr="00846B9D" w:rsidRDefault="00C11DE2" w:rsidP="00AD4BD8">
            <w:pPr>
              <w:contextualSpacing/>
              <w:rPr>
                <w:rFonts w:ascii="Arial" w:hAnsi="Arial" w:cs="Arial"/>
                <w:sz w:val="20"/>
              </w:rPr>
            </w:pPr>
            <w:r w:rsidRPr="00846B9D">
              <w:rPr>
                <w:rFonts w:ascii="Arial" w:hAnsi="Arial" w:cs="Arial"/>
                <w:sz w:val="20"/>
              </w:rPr>
              <w:t>3</w:t>
            </w:r>
          </w:p>
        </w:tc>
        <w:tc>
          <w:tcPr>
            <w:tcW w:w="3252" w:type="dxa"/>
          </w:tcPr>
          <w:p w:rsidR="00C11DE2" w:rsidRPr="00846B9D" w:rsidRDefault="00C11DE2" w:rsidP="00AD4BD8">
            <w:pPr>
              <w:contextualSpacing/>
              <w:jc w:val="both"/>
              <w:rPr>
                <w:rFonts w:ascii="Arial" w:hAnsi="Arial" w:cs="Arial"/>
                <w:sz w:val="20"/>
              </w:rPr>
            </w:pPr>
            <w:r w:rsidRPr="00846B9D">
              <w:rPr>
                <w:rFonts w:ascii="Arial" w:hAnsi="Arial" w:cs="Arial"/>
                <w:sz w:val="20"/>
              </w:rPr>
              <w:t xml:space="preserve">What was the number of SE </w:t>
            </w:r>
            <w:proofErr w:type="spellStart"/>
            <w:r w:rsidRPr="00846B9D">
              <w:rPr>
                <w:rFonts w:ascii="Arial" w:hAnsi="Arial" w:cs="Arial"/>
                <w:sz w:val="20"/>
              </w:rPr>
              <w:t>Rly</w:t>
            </w:r>
            <w:proofErr w:type="spellEnd"/>
            <w:r w:rsidRPr="00846B9D">
              <w:rPr>
                <w:rFonts w:ascii="Arial" w:hAnsi="Arial" w:cs="Arial"/>
                <w:sz w:val="20"/>
              </w:rPr>
              <w:t xml:space="preserve"> and N </w:t>
            </w:r>
            <w:proofErr w:type="spellStart"/>
            <w:r w:rsidRPr="00846B9D">
              <w:rPr>
                <w:rFonts w:ascii="Arial" w:hAnsi="Arial" w:cs="Arial"/>
                <w:sz w:val="20"/>
              </w:rPr>
              <w:t>Rly</w:t>
            </w:r>
            <w:proofErr w:type="spellEnd"/>
            <w:r w:rsidRPr="00846B9D">
              <w:rPr>
                <w:rFonts w:ascii="Arial" w:hAnsi="Arial" w:cs="Arial"/>
                <w:sz w:val="20"/>
              </w:rPr>
              <w:t xml:space="preserve"> paneled after the review of DPCs was conducted panel wise i.e. earlier to review and after the review</w:t>
            </w:r>
          </w:p>
          <w:p w:rsidR="00C11DE2" w:rsidRPr="00846B9D" w:rsidRDefault="00C11DE2" w:rsidP="00AD4BD8">
            <w:pPr>
              <w:contextualSpacing/>
              <w:jc w:val="both"/>
              <w:rPr>
                <w:rFonts w:ascii="Arial" w:hAnsi="Arial" w:cs="Arial"/>
                <w:sz w:val="20"/>
              </w:rPr>
            </w:pPr>
            <w:r w:rsidRPr="00846B9D">
              <w:rPr>
                <w:rFonts w:ascii="Arial" w:hAnsi="Arial" w:cs="Arial"/>
                <w:sz w:val="20"/>
              </w:rPr>
              <w:t>.</w:t>
            </w:r>
          </w:p>
        </w:tc>
        <w:tc>
          <w:tcPr>
            <w:tcW w:w="3444" w:type="dxa"/>
          </w:tcPr>
          <w:p w:rsidR="00C11DE2" w:rsidRPr="00846B9D" w:rsidRDefault="00C11DE2" w:rsidP="00AD4BD8">
            <w:pPr>
              <w:contextualSpacing/>
              <w:jc w:val="both"/>
              <w:rPr>
                <w:rFonts w:ascii="Arial" w:hAnsi="Arial" w:cs="Arial"/>
                <w:sz w:val="20"/>
              </w:rPr>
            </w:pPr>
            <w:r w:rsidRPr="00846B9D">
              <w:rPr>
                <w:rFonts w:ascii="Arial" w:hAnsi="Arial" w:cs="Arial"/>
                <w:sz w:val="20"/>
              </w:rPr>
              <w:t>No. of officers empanelled after review comes out to :</w:t>
            </w:r>
          </w:p>
          <w:p w:rsidR="00C11DE2" w:rsidRPr="00846B9D" w:rsidRDefault="00C11DE2" w:rsidP="00AD4BD8">
            <w:pPr>
              <w:contextualSpacing/>
              <w:jc w:val="both"/>
              <w:rPr>
                <w:rFonts w:ascii="Arial" w:hAnsi="Arial" w:cs="Arial"/>
                <w:sz w:val="20"/>
              </w:rPr>
            </w:pPr>
            <w:r w:rsidRPr="00846B9D">
              <w:rPr>
                <w:rFonts w:ascii="Arial" w:hAnsi="Arial" w:cs="Arial"/>
                <w:sz w:val="20"/>
              </w:rPr>
              <w:t>S E Railway – 5 in 2002-03 and 6 in 2005-06.</w:t>
            </w:r>
          </w:p>
          <w:p w:rsidR="00C11DE2" w:rsidRPr="00846B9D" w:rsidRDefault="00C11DE2" w:rsidP="00AD4BD8">
            <w:pPr>
              <w:contextualSpacing/>
              <w:jc w:val="both"/>
              <w:rPr>
                <w:rFonts w:ascii="Arial" w:hAnsi="Arial" w:cs="Arial"/>
                <w:sz w:val="20"/>
              </w:rPr>
            </w:pPr>
            <w:r w:rsidRPr="00846B9D">
              <w:rPr>
                <w:rFonts w:ascii="Arial" w:hAnsi="Arial" w:cs="Arial"/>
                <w:sz w:val="20"/>
              </w:rPr>
              <w:t>N Railway – 13 in 2005-06 and 9 in 2006-07.</w:t>
            </w:r>
          </w:p>
        </w:tc>
        <w:tc>
          <w:tcPr>
            <w:tcW w:w="810" w:type="dxa"/>
          </w:tcPr>
          <w:p w:rsidR="00C11DE2" w:rsidRPr="00846B9D" w:rsidRDefault="00C11DE2" w:rsidP="00AD4BD8">
            <w:pPr>
              <w:contextualSpacing/>
              <w:rPr>
                <w:rFonts w:ascii="Arial" w:hAnsi="Arial" w:cs="Arial"/>
                <w:sz w:val="20"/>
              </w:rPr>
            </w:pPr>
          </w:p>
        </w:tc>
      </w:tr>
      <w:tr w:rsidR="00C11DE2" w:rsidRPr="00846B9D" w:rsidTr="00AD4BD8">
        <w:tc>
          <w:tcPr>
            <w:tcW w:w="900" w:type="dxa"/>
          </w:tcPr>
          <w:p w:rsidR="00C11DE2" w:rsidRPr="00846B9D" w:rsidRDefault="00C11DE2" w:rsidP="00AD4BD8">
            <w:pPr>
              <w:contextualSpacing/>
              <w:rPr>
                <w:rFonts w:ascii="Arial" w:hAnsi="Arial" w:cs="Arial"/>
                <w:sz w:val="20"/>
              </w:rPr>
            </w:pPr>
            <w:r w:rsidRPr="00846B9D">
              <w:rPr>
                <w:rFonts w:ascii="Arial" w:hAnsi="Arial" w:cs="Arial"/>
                <w:sz w:val="20"/>
              </w:rPr>
              <w:t>4</w:t>
            </w:r>
          </w:p>
        </w:tc>
        <w:tc>
          <w:tcPr>
            <w:tcW w:w="882" w:type="dxa"/>
          </w:tcPr>
          <w:p w:rsidR="00C11DE2" w:rsidRPr="00846B9D" w:rsidRDefault="00C11DE2" w:rsidP="00AD4BD8">
            <w:pPr>
              <w:contextualSpacing/>
              <w:rPr>
                <w:rFonts w:ascii="Arial" w:hAnsi="Arial" w:cs="Arial"/>
                <w:sz w:val="20"/>
              </w:rPr>
            </w:pPr>
            <w:r w:rsidRPr="00846B9D">
              <w:rPr>
                <w:rFonts w:ascii="Arial" w:hAnsi="Arial" w:cs="Arial"/>
                <w:sz w:val="20"/>
              </w:rPr>
              <w:t>4</w:t>
            </w:r>
          </w:p>
          <w:p w:rsidR="00C11DE2" w:rsidRPr="00846B9D" w:rsidRDefault="00C11DE2" w:rsidP="00AD4BD8">
            <w:pPr>
              <w:contextualSpacing/>
              <w:rPr>
                <w:rFonts w:ascii="Arial" w:hAnsi="Arial" w:cs="Arial"/>
                <w:sz w:val="20"/>
              </w:rPr>
            </w:pPr>
          </w:p>
          <w:p w:rsidR="00C11DE2" w:rsidRPr="00846B9D" w:rsidRDefault="00C11DE2" w:rsidP="00AD4BD8">
            <w:pPr>
              <w:contextualSpacing/>
              <w:rPr>
                <w:rFonts w:ascii="Arial" w:hAnsi="Arial" w:cs="Arial"/>
                <w:sz w:val="20"/>
              </w:rPr>
            </w:pPr>
          </w:p>
          <w:p w:rsidR="00C11DE2" w:rsidRPr="00846B9D" w:rsidRDefault="00C11DE2" w:rsidP="00AD4BD8">
            <w:pPr>
              <w:contextualSpacing/>
              <w:rPr>
                <w:rFonts w:ascii="Arial" w:hAnsi="Arial" w:cs="Arial"/>
                <w:sz w:val="20"/>
              </w:rPr>
            </w:pPr>
          </w:p>
          <w:p w:rsidR="00C11DE2" w:rsidRPr="00846B9D" w:rsidRDefault="00C11DE2" w:rsidP="00AD4BD8">
            <w:pPr>
              <w:contextualSpacing/>
              <w:rPr>
                <w:rFonts w:ascii="Arial" w:hAnsi="Arial" w:cs="Arial"/>
                <w:sz w:val="20"/>
              </w:rPr>
            </w:pPr>
          </w:p>
          <w:p w:rsidR="00C11DE2" w:rsidRPr="00846B9D" w:rsidRDefault="00C11DE2" w:rsidP="00AD4BD8">
            <w:pPr>
              <w:contextualSpacing/>
              <w:rPr>
                <w:rFonts w:ascii="Arial" w:hAnsi="Arial" w:cs="Arial"/>
                <w:sz w:val="20"/>
              </w:rPr>
            </w:pPr>
          </w:p>
          <w:p w:rsidR="00C11DE2" w:rsidRPr="00846B9D" w:rsidRDefault="00C11DE2" w:rsidP="00AD4BD8">
            <w:pPr>
              <w:contextualSpacing/>
              <w:rPr>
                <w:rFonts w:ascii="Arial" w:hAnsi="Arial" w:cs="Arial"/>
                <w:sz w:val="20"/>
              </w:rPr>
            </w:pPr>
            <w:r w:rsidRPr="00846B9D">
              <w:rPr>
                <w:rFonts w:ascii="Arial" w:hAnsi="Arial" w:cs="Arial"/>
                <w:sz w:val="20"/>
              </w:rPr>
              <w:t>5</w:t>
            </w:r>
          </w:p>
        </w:tc>
        <w:tc>
          <w:tcPr>
            <w:tcW w:w="3252" w:type="dxa"/>
          </w:tcPr>
          <w:p w:rsidR="00C11DE2" w:rsidRPr="00846B9D" w:rsidRDefault="00C11DE2" w:rsidP="00AD4BD8">
            <w:pPr>
              <w:contextualSpacing/>
              <w:jc w:val="both"/>
              <w:rPr>
                <w:rFonts w:ascii="Arial" w:hAnsi="Arial" w:cs="Arial"/>
                <w:sz w:val="20"/>
              </w:rPr>
            </w:pPr>
            <w:r w:rsidRPr="00846B9D">
              <w:rPr>
                <w:rFonts w:ascii="Arial" w:hAnsi="Arial" w:cs="Arial"/>
                <w:sz w:val="20"/>
              </w:rPr>
              <w:t xml:space="preserve">Whether additional officers of SE Railway were taken into consideration, after 2 or more officers of </w:t>
            </w:r>
            <w:proofErr w:type="spellStart"/>
            <w:r w:rsidRPr="00846B9D">
              <w:rPr>
                <w:rFonts w:ascii="Arial" w:hAnsi="Arial" w:cs="Arial"/>
                <w:sz w:val="20"/>
              </w:rPr>
              <w:t>SERly</w:t>
            </w:r>
            <w:proofErr w:type="spellEnd"/>
            <w:r w:rsidRPr="00846B9D">
              <w:rPr>
                <w:rFonts w:ascii="Arial" w:hAnsi="Arial" w:cs="Arial"/>
                <w:sz w:val="20"/>
              </w:rPr>
              <w:t xml:space="preserve"> were upgraded to earlier years.</w:t>
            </w:r>
          </w:p>
          <w:p w:rsidR="00C11DE2" w:rsidRPr="00846B9D" w:rsidRDefault="00C11DE2" w:rsidP="00AD4BD8">
            <w:pPr>
              <w:contextualSpacing/>
              <w:jc w:val="both"/>
              <w:rPr>
                <w:rFonts w:ascii="Arial" w:hAnsi="Arial" w:cs="Arial"/>
                <w:sz w:val="20"/>
              </w:rPr>
            </w:pPr>
          </w:p>
          <w:p w:rsidR="00C11DE2" w:rsidRPr="00846B9D" w:rsidRDefault="00C11DE2" w:rsidP="00AD4BD8">
            <w:pPr>
              <w:contextualSpacing/>
              <w:jc w:val="both"/>
              <w:rPr>
                <w:rFonts w:ascii="Arial" w:hAnsi="Arial" w:cs="Arial"/>
                <w:sz w:val="20"/>
              </w:rPr>
            </w:pPr>
            <w:r w:rsidRPr="00846B9D">
              <w:rPr>
                <w:rFonts w:ascii="Arial" w:hAnsi="Arial" w:cs="Arial"/>
                <w:sz w:val="20"/>
              </w:rPr>
              <w:t>If not, the reasons thereof, if yes furnish the details.</w:t>
            </w:r>
          </w:p>
        </w:tc>
        <w:tc>
          <w:tcPr>
            <w:tcW w:w="3444" w:type="dxa"/>
          </w:tcPr>
          <w:p w:rsidR="00C11DE2" w:rsidRPr="00846B9D" w:rsidRDefault="00C11DE2" w:rsidP="00AD4BD8">
            <w:pPr>
              <w:contextualSpacing/>
              <w:jc w:val="both"/>
              <w:rPr>
                <w:rFonts w:ascii="Arial" w:hAnsi="Arial" w:cs="Arial"/>
                <w:sz w:val="20"/>
              </w:rPr>
            </w:pPr>
            <w:r w:rsidRPr="00846B9D">
              <w:rPr>
                <w:rFonts w:ascii="Arial" w:hAnsi="Arial" w:cs="Arial"/>
                <w:sz w:val="20"/>
              </w:rPr>
              <w:t>The UPSC, after conducting the limited review of the proceedings of the DPC held on 29</w:t>
            </w:r>
            <w:r w:rsidRPr="00846B9D">
              <w:rPr>
                <w:rFonts w:ascii="Arial" w:hAnsi="Arial" w:cs="Arial"/>
                <w:sz w:val="20"/>
                <w:vertAlign w:val="superscript"/>
              </w:rPr>
              <w:t>th</w:t>
            </w:r>
            <w:r w:rsidRPr="00846B9D">
              <w:rPr>
                <w:rFonts w:ascii="Arial" w:hAnsi="Arial" w:cs="Arial"/>
                <w:sz w:val="20"/>
              </w:rPr>
              <w:t xml:space="preserve"> May, 2004 in respect of S E Railway for the year 2002-03, recommended for inclusion of those two nam</w:t>
            </w:r>
            <w:r>
              <w:rPr>
                <w:rFonts w:ascii="Arial" w:hAnsi="Arial" w:cs="Arial"/>
                <w:sz w:val="20"/>
              </w:rPr>
              <w:t xml:space="preserve">es, which were included in the </w:t>
            </w:r>
            <w:r w:rsidRPr="00846B9D">
              <w:rPr>
                <w:rFonts w:ascii="Arial" w:hAnsi="Arial" w:cs="Arial"/>
                <w:sz w:val="20"/>
              </w:rPr>
              <w:t>panel of 2005-06, and modified the DPC minutes of 2002-03 to that extent only.  However, it did not recommend any fresh names for inclusion in the panel of 2005-06 vice those two names.</w:t>
            </w:r>
          </w:p>
        </w:tc>
        <w:tc>
          <w:tcPr>
            <w:tcW w:w="810" w:type="dxa"/>
          </w:tcPr>
          <w:p w:rsidR="00C11DE2" w:rsidRPr="00846B9D" w:rsidRDefault="00C11DE2" w:rsidP="00AD4BD8">
            <w:pPr>
              <w:contextualSpacing/>
              <w:rPr>
                <w:rFonts w:ascii="Arial" w:hAnsi="Arial" w:cs="Arial"/>
                <w:sz w:val="20"/>
              </w:rPr>
            </w:pPr>
          </w:p>
        </w:tc>
      </w:tr>
      <w:tr w:rsidR="00C11DE2" w:rsidRPr="00846B9D" w:rsidTr="00AD4BD8">
        <w:tc>
          <w:tcPr>
            <w:tcW w:w="900" w:type="dxa"/>
          </w:tcPr>
          <w:p w:rsidR="00C11DE2" w:rsidRPr="00846B9D" w:rsidRDefault="00C11DE2" w:rsidP="00AD4BD8">
            <w:pPr>
              <w:contextualSpacing/>
              <w:rPr>
                <w:rFonts w:ascii="Arial" w:hAnsi="Arial" w:cs="Arial"/>
                <w:sz w:val="20"/>
              </w:rPr>
            </w:pPr>
            <w:r w:rsidRPr="00846B9D">
              <w:rPr>
                <w:rFonts w:ascii="Arial" w:hAnsi="Arial" w:cs="Arial"/>
                <w:sz w:val="20"/>
              </w:rPr>
              <w:lastRenderedPageBreak/>
              <w:t>6</w:t>
            </w:r>
          </w:p>
        </w:tc>
        <w:tc>
          <w:tcPr>
            <w:tcW w:w="882" w:type="dxa"/>
          </w:tcPr>
          <w:p w:rsidR="00C11DE2" w:rsidRPr="00846B9D" w:rsidRDefault="00C11DE2" w:rsidP="00AD4BD8">
            <w:pPr>
              <w:contextualSpacing/>
              <w:rPr>
                <w:rFonts w:ascii="Arial" w:hAnsi="Arial" w:cs="Arial"/>
                <w:sz w:val="20"/>
              </w:rPr>
            </w:pPr>
            <w:r w:rsidRPr="00846B9D">
              <w:rPr>
                <w:rFonts w:ascii="Arial" w:hAnsi="Arial" w:cs="Arial"/>
                <w:sz w:val="20"/>
              </w:rPr>
              <w:t>6</w:t>
            </w:r>
          </w:p>
        </w:tc>
        <w:tc>
          <w:tcPr>
            <w:tcW w:w="3252" w:type="dxa"/>
          </w:tcPr>
          <w:p w:rsidR="00C11DE2" w:rsidRPr="00846B9D" w:rsidRDefault="00C11DE2" w:rsidP="00AD4BD8">
            <w:pPr>
              <w:contextualSpacing/>
              <w:jc w:val="both"/>
              <w:rPr>
                <w:rFonts w:ascii="Arial" w:hAnsi="Arial" w:cs="Arial"/>
                <w:sz w:val="20"/>
              </w:rPr>
            </w:pPr>
            <w:r w:rsidRPr="00846B9D">
              <w:rPr>
                <w:rFonts w:ascii="Arial" w:hAnsi="Arial" w:cs="Arial"/>
                <w:sz w:val="20"/>
              </w:rPr>
              <w:t xml:space="preserve">Kindly furnish the details of file noting and other papers, where decision was taken and approval obtained for not considering the additional SE Railway officers, against the vacancy created in the panel, due to </w:t>
            </w:r>
            <w:proofErr w:type="spellStart"/>
            <w:r w:rsidRPr="00846B9D">
              <w:rPr>
                <w:rFonts w:ascii="Arial" w:hAnsi="Arial" w:cs="Arial"/>
                <w:sz w:val="20"/>
              </w:rPr>
              <w:t>upgradation</w:t>
            </w:r>
            <w:proofErr w:type="spellEnd"/>
            <w:r w:rsidRPr="00846B9D">
              <w:rPr>
                <w:rFonts w:ascii="Arial" w:hAnsi="Arial" w:cs="Arial"/>
                <w:sz w:val="20"/>
              </w:rPr>
              <w:t xml:space="preserve"> of 2 more officers to earlier panels.</w:t>
            </w:r>
          </w:p>
        </w:tc>
        <w:tc>
          <w:tcPr>
            <w:tcW w:w="3444" w:type="dxa"/>
          </w:tcPr>
          <w:p w:rsidR="00C11DE2" w:rsidRPr="00846B9D" w:rsidRDefault="00C11DE2" w:rsidP="00AD4BD8">
            <w:pPr>
              <w:contextualSpacing/>
              <w:jc w:val="both"/>
              <w:rPr>
                <w:rFonts w:ascii="Arial" w:hAnsi="Arial" w:cs="Arial"/>
                <w:sz w:val="20"/>
              </w:rPr>
            </w:pPr>
            <w:r w:rsidRPr="00846B9D">
              <w:rPr>
                <w:rFonts w:ascii="Arial" w:hAnsi="Arial" w:cs="Arial"/>
                <w:sz w:val="20"/>
              </w:rPr>
              <w:t>No such decision was taken in Board’s office.</w:t>
            </w:r>
          </w:p>
        </w:tc>
        <w:tc>
          <w:tcPr>
            <w:tcW w:w="810" w:type="dxa"/>
          </w:tcPr>
          <w:p w:rsidR="00C11DE2" w:rsidRPr="00846B9D" w:rsidRDefault="00C11DE2" w:rsidP="00AD4BD8">
            <w:pPr>
              <w:contextualSpacing/>
              <w:rPr>
                <w:rFonts w:ascii="Arial" w:hAnsi="Arial" w:cs="Arial"/>
                <w:sz w:val="20"/>
              </w:rPr>
            </w:pPr>
          </w:p>
        </w:tc>
      </w:tr>
    </w:tbl>
    <w:p w:rsidR="00C11DE2" w:rsidRPr="00846B9D" w:rsidRDefault="00C11DE2" w:rsidP="00C11DE2">
      <w:pPr>
        <w:spacing w:after="0" w:line="240" w:lineRule="auto"/>
        <w:ind w:left="720"/>
        <w:contextualSpacing/>
        <w:rPr>
          <w:rFonts w:ascii="Arial" w:hAnsi="Arial" w:cs="Arial"/>
          <w:sz w:val="20"/>
        </w:rPr>
      </w:pPr>
    </w:p>
    <w:p w:rsidR="00C11DE2" w:rsidRPr="00846B9D" w:rsidRDefault="00C11DE2" w:rsidP="00C11DE2">
      <w:pPr>
        <w:spacing w:after="0" w:line="240" w:lineRule="auto"/>
        <w:ind w:left="720"/>
        <w:contextualSpacing/>
        <w:jc w:val="right"/>
        <w:rPr>
          <w:rFonts w:ascii="Arial" w:hAnsi="Arial" w:cs="Arial"/>
          <w:sz w:val="20"/>
        </w:rPr>
      </w:pPr>
    </w:p>
    <w:p w:rsidR="00C11DE2" w:rsidRPr="00846B9D" w:rsidRDefault="00C11DE2" w:rsidP="00C11DE2">
      <w:pPr>
        <w:spacing w:after="0" w:line="240" w:lineRule="auto"/>
        <w:ind w:left="720"/>
        <w:contextualSpacing/>
        <w:rPr>
          <w:rFonts w:ascii="Arial" w:hAnsi="Arial" w:cs="Arial"/>
          <w:sz w:val="20"/>
        </w:rPr>
      </w:pPr>
    </w:p>
    <w:p w:rsidR="00C11DE2" w:rsidRPr="00846B9D" w:rsidRDefault="00C11DE2" w:rsidP="00C11DE2">
      <w:pPr>
        <w:spacing w:after="0" w:line="240" w:lineRule="auto"/>
        <w:ind w:left="720"/>
        <w:contextualSpacing/>
        <w:jc w:val="right"/>
        <w:rPr>
          <w:rFonts w:ascii="Arial" w:hAnsi="Arial" w:cs="Arial"/>
          <w:sz w:val="20"/>
        </w:rPr>
      </w:pPr>
      <w:proofErr w:type="gramStart"/>
      <w:r w:rsidRPr="00846B9D">
        <w:rPr>
          <w:rFonts w:ascii="Arial" w:hAnsi="Arial" w:cs="Arial"/>
          <w:sz w:val="20"/>
        </w:rPr>
        <w:t xml:space="preserve">( </w:t>
      </w:r>
      <w:proofErr w:type="spellStart"/>
      <w:r w:rsidRPr="00846B9D">
        <w:rPr>
          <w:rFonts w:ascii="Arial" w:hAnsi="Arial" w:cs="Arial"/>
          <w:sz w:val="20"/>
        </w:rPr>
        <w:t>Prabir</w:t>
      </w:r>
      <w:proofErr w:type="spellEnd"/>
      <w:proofErr w:type="gramEnd"/>
      <w:r w:rsidRPr="00846B9D">
        <w:rPr>
          <w:rFonts w:ascii="Arial" w:hAnsi="Arial" w:cs="Arial"/>
          <w:sz w:val="20"/>
        </w:rPr>
        <w:t xml:space="preserve"> Roy)</w:t>
      </w:r>
    </w:p>
    <w:p w:rsidR="00C11DE2" w:rsidRPr="00846B9D" w:rsidRDefault="00C11DE2" w:rsidP="00C11DE2">
      <w:pPr>
        <w:spacing w:after="0" w:line="240" w:lineRule="auto"/>
        <w:ind w:left="720"/>
        <w:contextualSpacing/>
        <w:jc w:val="right"/>
        <w:rPr>
          <w:rFonts w:ascii="Arial" w:hAnsi="Arial" w:cs="Arial"/>
          <w:sz w:val="20"/>
        </w:rPr>
      </w:pPr>
      <w:r w:rsidRPr="00846B9D">
        <w:rPr>
          <w:rFonts w:ascii="Arial" w:hAnsi="Arial" w:cs="Arial"/>
          <w:sz w:val="20"/>
        </w:rPr>
        <w:t xml:space="preserve">Deputy Director, </w:t>
      </w:r>
      <w:proofErr w:type="spellStart"/>
      <w:r w:rsidRPr="00846B9D">
        <w:rPr>
          <w:rFonts w:ascii="Arial" w:hAnsi="Arial" w:cs="Arial"/>
          <w:sz w:val="20"/>
        </w:rPr>
        <w:t>Estt</w:t>
      </w:r>
      <w:proofErr w:type="spellEnd"/>
      <w:proofErr w:type="gramStart"/>
      <w:r w:rsidRPr="00846B9D">
        <w:rPr>
          <w:rFonts w:ascii="Arial" w:hAnsi="Arial" w:cs="Arial"/>
          <w:sz w:val="20"/>
        </w:rPr>
        <w:t>.(</w:t>
      </w:r>
      <w:proofErr w:type="gramEnd"/>
      <w:r w:rsidRPr="00846B9D">
        <w:rPr>
          <w:rFonts w:ascii="Arial" w:hAnsi="Arial" w:cs="Arial"/>
          <w:sz w:val="20"/>
        </w:rPr>
        <w:t>GP)-I</w:t>
      </w:r>
    </w:p>
    <w:p w:rsidR="00C11DE2" w:rsidRPr="00846B9D" w:rsidRDefault="00C11DE2" w:rsidP="00C11DE2">
      <w:pPr>
        <w:spacing w:after="0" w:line="240" w:lineRule="auto"/>
        <w:ind w:left="720"/>
        <w:contextualSpacing/>
        <w:jc w:val="right"/>
        <w:rPr>
          <w:rFonts w:ascii="Arial" w:hAnsi="Arial" w:cs="Arial"/>
          <w:sz w:val="20"/>
        </w:rPr>
      </w:pPr>
      <w:r w:rsidRPr="00846B9D">
        <w:rPr>
          <w:rFonts w:ascii="Arial" w:hAnsi="Arial" w:cs="Arial"/>
          <w:sz w:val="20"/>
        </w:rPr>
        <w:t>Railway Board</w:t>
      </w:r>
    </w:p>
    <w:p w:rsidR="00C11DE2" w:rsidRPr="00846B9D" w:rsidRDefault="00C11DE2" w:rsidP="00C11DE2">
      <w:pPr>
        <w:spacing w:after="0" w:line="240" w:lineRule="auto"/>
        <w:ind w:left="720"/>
        <w:contextualSpacing/>
        <w:jc w:val="right"/>
        <w:rPr>
          <w:rFonts w:ascii="Arial" w:hAnsi="Arial" w:cs="Arial"/>
          <w:sz w:val="20"/>
        </w:rPr>
      </w:pPr>
    </w:p>
    <w:p w:rsidR="00C11DE2" w:rsidRPr="00846B9D" w:rsidRDefault="00C11DE2" w:rsidP="00C11DE2">
      <w:pPr>
        <w:spacing w:after="0" w:line="240" w:lineRule="auto"/>
        <w:ind w:left="720"/>
        <w:rPr>
          <w:rFonts w:ascii="Arial" w:hAnsi="Arial" w:cs="Arial"/>
          <w:sz w:val="20"/>
        </w:rPr>
      </w:pPr>
    </w:p>
    <w:p w:rsidR="00C924F7" w:rsidRDefault="00C924F7"/>
    <w:sectPr w:rsidR="00C924F7" w:rsidSect="00C1621D">
      <w:pgSz w:w="12240" w:h="15840"/>
      <w:pgMar w:top="1440" w:right="90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DE2"/>
    <w:rsid w:val="00013601"/>
    <w:rsid w:val="0004211F"/>
    <w:rsid w:val="000433E6"/>
    <w:rsid w:val="0004788D"/>
    <w:rsid w:val="000868F5"/>
    <w:rsid w:val="000C06AD"/>
    <w:rsid w:val="000D00F8"/>
    <w:rsid w:val="000E3DC8"/>
    <w:rsid w:val="000E7705"/>
    <w:rsid w:val="000F56D4"/>
    <w:rsid w:val="00106D7E"/>
    <w:rsid w:val="00137C3C"/>
    <w:rsid w:val="00152010"/>
    <w:rsid w:val="00156101"/>
    <w:rsid w:val="00166858"/>
    <w:rsid w:val="001752DA"/>
    <w:rsid w:val="00213A50"/>
    <w:rsid w:val="00222FA6"/>
    <w:rsid w:val="00226670"/>
    <w:rsid w:val="002632BC"/>
    <w:rsid w:val="00272B46"/>
    <w:rsid w:val="00286963"/>
    <w:rsid w:val="00286D31"/>
    <w:rsid w:val="002B0647"/>
    <w:rsid w:val="002B27AC"/>
    <w:rsid w:val="002C59E0"/>
    <w:rsid w:val="002F23E3"/>
    <w:rsid w:val="00302DF0"/>
    <w:rsid w:val="00364A7C"/>
    <w:rsid w:val="00366E06"/>
    <w:rsid w:val="0037514F"/>
    <w:rsid w:val="003764EF"/>
    <w:rsid w:val="00384AB8"/>
    <w:rsid w:val="00397346"/>
    <w:rsid w:val="00400E60"/>
    <w:rsid w:val="004015E1"/>
    <w:rsid w:val="00443EA4"/>
    <w:rsid w:val="0045488E"/>
    <w:rsid w:val="0047499F"/>
    <w:rsid w:val="004B26FD"/>
    <w:rsid w:val="00516423"/>
    <w:rsid w:val="005B43D5"/>
    <w:rsid w:val="005B7610"/>
    <w:rsid w:val="005D2ED0"/>
    <w:rsid w:val="005E2BEF"/>
    <w:rsid w:val="00612856"/>
    <w:rsid w:val="00626F5C"/>
    <w:rsid w:val="006571E6"/>
    <w:rsid w:val="00677CBD"/>
    <w:rsid w:val="00685324"/>
    <w:rsid w:val="006A0600"/>
    <w:rsid w:val="006C7D5C"/>
    <w:rsid w:val="006D4599"/>
    <w:rsid w:val="006E5B81"/>
    <w:rsid w:val="0075326E"/>
    <w:rsid w:val="007D7CF9"/>
    <w:rsid w:val="008265E0"/>
    <w:rsid w:val="00826BE8"/>
    <w:rsid w:val="008358C2"/>
    <w:rsid w:val="00840860"/>
    <w:rsid w:val="00865E6B"/>
    <w:rsid w:val="00880E48"/>
    <w:rsid w:val="008C6921"/>
    <w:rsid w:val="008E2787"/>
    <w:rsid w:val="00945378"/>
    <w:rsid w:val="00955059"/>
    <w:rsid w:val="0096002D"/>
    <w:rsid w:val="00963903"/>
    <w:rsid w:val="009956C1"/>
    <w:rsid w:val="009A4E35"/>
    <w:rsid w:val="009B59B2"/>
    <w:rsid w:val="009B694E"/>
    <w:rsid w:val="009E75C6"/>
    <w:rsid w:val="00A25B89"/>
    <w:rsid w:val="00A37503"/>
    <w:rsid w:val="00A910DD"/>
    <w:rsid w:val="00AE6192"/>
    <w:rsid w:val="00B00D42"/>
    <w:rsid w:val="00B470AA"/>
    <w:rsid w:val="00B51D88"/>
    <w:rsid w:val="00BB2C10"/>
    <w:rsid w:val="00BC4130"/>
    <w:rsid w:val="00BD1F44"/>
    <w:rsid w:val="00BE127A"/>
    <w:rsid w:val="00C054EF"/>
    <w:rsid w:val="00C11DE2"/>
    <w:rsid w:val="00C227CD"/>
    <w:rsid w:val="00C536AE"/>
    <w:rsid w:val="00C924F7"/>
    <w:rsid w:val="00CE6383"/>
    <w:rsid w:val="00D04641"/>
    <w:rsid w:val="00D21204"/>
    <w:rsid w:val="00D4178F"/>
    <w:rsid w:val="00D44F90"/>
    <w:rsid w:val="00D7698A"/>
    <w:rsid w:val="00D77AAC"/>
    <w:rsid w:val="00D86C2B"/>
    <w:rsid w:val="00DA4E0F"/>
    <w:rsid w:val="00E11FF3"/>
    <w:rsid w:val="00E225A0"/>
    <w:rsid w:val="00E53A5E"/>
    <w:rsid w:val="00E84C59"/>
    <w:rsid w:val="00E862AA"/>
    <w:rsid w:val="00EA3A3B"/>
    <w:rsid w:val="00EC3676"/>
    <w:rsid w:val="00F23880"/>
    <w:rsid w:val="00F80D78"/>
    <w:rsid w:val="00FC6416"/>
    <w:rsid w:val="00FD5DF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DE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Company>HP</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2012-11-10T19:59:00Z</dcterms:created>
  <dcterms:modified xsi:type="dcterms:W3CDTF">2012-11-10T20:00:00Z</dcterms:modified>
</cp:coreProperties>
</file>