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68" w:rsidRPr="002D7B80" w:rsidRDefault="000E6A68" w:rsidP="000E6A68">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GOVERNMENT OF INDIA</w:t>
      </w:r>
    </w:p>
    <w:p w:rsidR="000E6A68" w:rsidRPr="002D7B80" w:rsidRDefault="000E6A68" w:rsidP="000E6A68">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MINISTRY OF RAIWLOAYS</w:t>
      </w:r>
    </w:p>
    <w:p w:rsidR="000E6A68" w:rsidRPr="002D7B80" w:rsidRDefault="000E6A68" w:rsidP="000E6A68">
      <w:pPr>
        <w:spacing w:after="0" w:line="240" w:lineRule="auto"/>
        <w:ind w:left="720"/>
        <w:contextualSpacing/>
        <w:jc w:val="center"/>
        <w:rPr>
          <w:rFonts w:ascii="Arial" w:hAnsi="Arial" w:cs="Arial"/>
          <w:b/>
          <w:bCs/>
          <w:sz w:val="24"/>
          <w:szCs w:val="24"/>
        </w:rPr>
      </w:pPr>
      <w:r w:rsidRPr="002D7B80">
        <w:rPr>
          <w:rFonts w:ascii="Arial" w:hAnsi="Arial" w:cs="Arial"/>
          <w:b/>
          <w:bCs/>
          <w:sz w:val="24"/>
          <w:szCs w:val="24"/>
        </w:rPr>
        <w:t>(RAILWAY BOARD)</w:t>
      </w:r>
    </w:p>
    <w:p w:rsidR="000E6A68" w:rsidRDefault="000E6A68" w:rsidP="000E6A68">
      <w:pPr>
        <w:spacing w:after="0" w:line="240" w:lineRule="auto"/>
        <w:ind w:left="720"/>
        <w:contextualSpacing/>
        <w:jc w:val="right"/>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r w:rsidRPr="002D7B80">
        <w:rPr>
          <w:rFonts w:ascii="Arial" w:hAnsi="Arial" w:cs="Arial"/>
          <w:sz w:val="24"/>
          <w:szCs w:val="24"/>
        </w:rPr>
        <w:t>No. RB/RTI</w:t>
      </w:r>
      <w:r>
        <w:rPr>
          <w:rFonts w:ascii="Arial" w:hAnsi="Arial" w:cs="Arial"/>
          <w:sz w:val="24"/>
          <w:szCs w:val="24"/>
        </w:rPr>
        <w:t>/2011</w:t>
      </w:r>
      <w:r w:rsidRPr="002D7B80">
        <w:rPr>
          <w:rFonts w:ascii="Arial" w:hAnsi="Arial" w:cs="Arial"/>
          <w:sz w:val="24"/>
          <w:szCs w:val="24"/>
        </w:rPr>
        <w:t>/</w:t>
      </w:r>
      <w:r>
        <w:rPr>
          <w:rFonts w:ascii="Arial" w:hAnsi="Arial" w:cs="Arial"/>
          <w:sz w:val="24"/>
          <w:szCs w:val="24"/>
        </w:rPr>
        <w:t xml:space="preserve">18021/CPIO-31 (Final Reply)    </w:t>
      </w:r>
      <w:r w:rsidRPr="00652116">
        <w:rPr>
          <w:rFonts w:ascii="Arial" w:hAnsi="Arial" w:cs="Arial"/>
          <w:sz w:val="24"/>
          <w:szCs w:val="24"/>
        </w:rPr>
        <w:t xml:space="preserve"> </w:t>
      </w:r>
      <w:r w:rsidRPr="002D7B80">
        <w:rPr>
          <w:rFonts w:ascii="Arial" w:hAnsi="Arial" w:cs="Arial"/>
          <w:sz w:val="24"/>
          <w:szCs w:val="24"/>
        </w:rPr>
        <w:t>New Delhi,</w:t>
      </w:r>
      <w:r>
        <w:rPr>
          <w:rFonts w:ascii="Arial" w:hAnsi="Arial" w:cs="Arial"/>
          <w:sz w:val="24"/>
          <w:szCs w:val="24"/>
        </w:rPr>
        <w:t xml:space="preserve"> Dated</w:t>
      </w:r>
      <w:proofErr w:type="gramStart"/>
      <w:r>
        <w:rPr>
          <w:rFonts w:ascii="Arial" w:hAnsi="Arial" w:cs="Arial"/>
          <w:sz w:val="24"/>
          <w:szCs w:val="24"/>
        </w:rPr>
        <w:t>:-</w:t>
      </w:r>
      <w:proofErr w:type="gramEnd"/>
      <w:r w:rsidRPr="002D7B80">
        <w:rPr>
          <w:rFonts w:ascii="Arial" w:hAnsi="Arial" w:cs="Arial"/>
          <w:sz w:val="24"/>
          <w:szCs w:val="24"/>
        </w:rPr>
        <w:t xml:space="preserve"> 1</w:t>
      </w:r>
      <w:r>
        <w:rPr>
          <w:rFonts w:ascii="Arial" w:hAnsi="Arial" w:cs="Arial"/>
          <w:sz w:val="24"/>
          <w:szCs w:val="24"/>
        </w:rPr>
        <w:t>3/09/2011</w:t>
      </w:r>
    </w:p>
    <w:p w:rsidR="000E6A68" w:rsidRDefault="000E6A68" w:rsidP="000E6A68">
      <w:pPr>
        <w:spacing w:after="0" w:line="240" w:lineRule="auto"/>
        <w:ind w:left="720"/>
        <w:contextualSpacing/>
        <w:rPr>
          <w:rFonts w:ascii="Arial" w:hAnsi="Arial" w:cs="Arial"/>
          <w:sz w:val="24"/>
          <w:szCs w:val="24"/>
        </w:rPr>
      </w:pPr>
    </w:p>
    <w:p w:rsidR="000E6A68" w:rsidRPr="002D7B80" w:rsidRDefault="000E6A68" w:rsidP="000E6A68">
      <w:pPr>
        <w:spacing w:after="0" w:line="240" w:lineRule="auto"/>
        <w:ind w:left="720"/>
        <w:contextualSpacing/>
        <w:rPr>
          <w:rFonts w:ascii="Arial" w:hAnsi="Arial" w:cs="Arial"/>
          <w:sz w:val="24"/>
          <w:szCs w:val="24"/>
        </w:rPr>
      </w:pPr>
    </w:p>
    <w:p w:rsidR="000E6A68" w:rsidRPr="002D7B80" w:rsidRDefault="000E6A68" w:rsidP="000E6A68">
      <w:pPr>
        <w:spacing w:after="0" w:line="240" w:lineRule="auto"/>
        <w:ind w:left="720"/>
        <w:contextualSpacing/>
        <w:rPr>
          <w:rFonts w:ascii="Arial" w:hAnsi="Arial" w:cs="Arial"/>
          <w:sz w:val="24"/>
          <w:szCs w:val="24"/>
        </w:rPr>
      </w:pPr>
      <w:r w:rsidRPr="002D7B80">
        <w:rPr>
          <w:rFonts w:ascii="Arial" w:hAnsi="Arial" w:cs="Arial"/>
          <w:sz w:val="24"/>
          <w:szCs w:val="24"/>
        </w:rPr>
        <w:t xml:space="preserve">Sh. S.K. </w:t>
      </w:r>
      <w:proofErr w:type="spellStart"/>
      <w:r w:rsidRPr="002D7B80">
        <w:rPr>
          <w:rFonts w:ascii="Arial" w:hAnsi="Arial" w:cs="Arial"/>
          <w:sz w:val="24"/>
          <w:szCs w:val="24"/>
        </w:rPr>
        <w:t>Bansal</w:t>
      </w:r>
      <w:proofErr w:type="spellEnd"/>
    </w:p>
    <w:p w:rsidR="000E6A68" w:rsidRDefault="000E6A68" w:rsidP="000E6A68">
      <w:pPr>
        <w:spacing w:after="0" w:line="240" w:lineRule="auto"/>
        <w:ind w:left="720"/>
        <w:contextualSpacing/>
        <w:rPr>
          <w:rFonts w:ascii="Arial" w:hAnsi="Arial" w:cs="Arial"/>
          <w:sz w:val="24"/>
          <w:szCs w:val="24"/>
        </w:rPr>
      </w:pPr>
      <w:r w:rsidRPr="002D7B80">
        <w:rPr>
          <w:rFonts w:ascii="Arial" w:hAnsi="Arial" w:cs="Arial"/>
          <w:sz w:val="24"/>
          <w:szCs w:val="24"/>
        </w:rPr>
        <w:t xml:space="preserve">B-3/4, </w:t>
      </w:r>
      <w:proofErr w:type="spellStart"/>
      <w:r w:rsidRPr="002D7B80">
        <w:rPr>
          <w:rFonts w:ascii="Arial" w:hAnsi="Arial" w:cs="Arial"/>
          <w:sz w:val="24"/>
          <w:szCs w:val="24"/>
        </w:rPr>
        <w:t>Jeevan</w:t>
      </w:r>
      <w:proofErr w:type="spellEnd"/>
      <w:r w:rsidRPr="002D7B80">
        <w:rPr>
          <w:rFonts w:ascii="Arial" w:hAnsi="Arial" w:cs="Arial"/>
          <w:sz w:val="24"/>
          <w:szCs w:val="24"/>
        </w:rPr>
        <w:t xml:space="preserve"> Jyoti Apartment </w:t>
      </w:r>
    </w:p>
    <w:p w:rsidR="000E6A68" w:rsidRDefault="000E6A68" w:rsidP="000E6A68">
      <w:pPr>
        <w:spacing w:after="0" w:line="240" w:lineRule="auto"/>
        <w:ind w:left="720"/>
        <w:contextualSpacing/>
        <w:rPr>
          <w:rFonts w:ascii="Arial" w:hAnsi="Arial" w:cs="Arial"/>
          <w:sz w:val="24"/>
          <w:szCs w:val="24"/>
        </w:rPr>
      </w:pPr>
      <w:r w:rsidRPr="002D7B80">
        <w:rPr>
          <w:rFonts w:ascii="Arial" w:hAnsi="Arial" w:cs="Arial"/>
          <w:sz w:val="24"/>
          <w:szCs w:val="24"/>
        </w:rPr>
        <w:t>Near</w:t>
      </w:r>
      <w:r>
        <w:rPr>
          <w:rFonts w:ascii="Arial" w:hAnsi="Arial" w:cs="Arial"/>
          <w:sz w:val="24"/>
          <w:szCs w:val="24"/>
        </w:rPr>
        <w:t xml:space="preserve"> </w:t>
      </w:r>
      <w:proofErr w:type="spellStart"/>
      <w:r w:rsidRPr="002D7B80">
        <w:rPr>
          <w:rFonts w:ascii="Arial" w:hAnsi="Arial" w:cs="Arial"/>
          <w:sz w:val="24"/>
          <w:szCs w:val="24"/>
        </w:rPr>
        <w:t>Lok</w:t>
      </w:r>
      <w:proofErr w:type="spellEnd"/>
      <w:r w:rsidRPr="002D7B80">
        <w:rPr>
          <w:rFonts w:ascii="Arial" w:hAnsi="Arial" w:cs="Arial"/>
          <w:sz w:val="24"/>
          <w:szCs w:val="24"/>
        </w:rPr>
        <w:t xml:space="preserve"> </w:t>
      </w:r>
      <w:proofErr w:type="spellStart"/>
      <w:r w:rsidRPr="002D7B80">
        <w:rPr>
          <w:rFonts w:ascii="Arial" w:hAnsi="Arial" w:cs="Arial"/>
          <w:sz w:val="24"/>
          <w:szCs w:val="24"/>
        </w:rPr>
        <w:t>Vihar</w:t>
      </w:r>
      <w:proofErr w:type="spellEnd"/>
      <w:r w:rsidRPr="002D7B80">
        <w:rPr>
          <w:rFonts w:ascii="Arial" w:hAnsi="Arial" w:cs="Arial"/>
          <w:sz w:val="24"/>
          <w:szCs w:val="24"/>
        </w:rPr>
        <w:t xml:space="preserve"> </w:t>
      </w:r>
    </w:p>
    <w:p w:rsidR="000E6A68" w:rsidRPr="002D7B80" w:rsidRDefault="000E6A68" w:rsidP="000E6A68">
      <w:pPr>
        <w:spacing w:after="0" w:line="240" w:lineRule="auto"/>
        <w:ind w:left="720"/>
        <w:contextualSpacing/>
        <w:rPr>
          <w:rFonts w:ascii="Arial" w:hAnsi="Arial" w:cs="Arial"/>
          <w:sz w:val="24"/>
          <w:szCs w:val="24"/>
        </w:rPr>
      </w:pPr>
      <w:proofErr w:type="spellStart"/>
      <w:r w:rsidRPr="002D7B80">
        <w:rPr>
          <w:rFonts w:ascii="Arial" w:hAnsi="Arial" w:cs="Arial"/>
          <w:sz w:val="24"/>
          <w:szCs w:val="24"/>
        </w:rPr>
        <w:t>Pitampura</w:t>
      </w:r>
      <w:proofErr w:type="spellEnd"/>
    </w:p>
    <w:p w:rsidR="000E6A68" w:rsidRDefault="000E6A68" w:rsidP="000E6A68">
      <w:pPr>
        <w:spacing w:after="0" w:line="240" w:lineRule="auto"/>
        <w:ind w:left="720"/>
        <w:contextualSpacing/>
        <w:rPr>
          <w:rFonts w:ascii="Arial" w:hAnsi="Arial" w:cs="Arial"/>
          <w:sz w:val="24"/>
          <w:szCs w:val="24"/>
        </w:rPr>
      </w:pPr>
      <w:proofErr w:type="gramStart"/>
      <w:r w:rsidRPr="002D7B80">
        <w:rPr>
          <w:rFonts w:ascii="Arial" w:hAnsi="Arial" w:cs="Arial"/>
          <w:sz w:val="24"/>
          <w:szCs w:val="24"/>
        </w:rPr>
        <w:t>Delhi-110 034</w:t>
      </w:r>
      <w:r>
        <w:rPr>
          <w:rFonts w:ascii="Arial" w:hAnsi="Arial" w:cs="Arial"/>
          <w:sz w:val="24"/>
          <w:szCs w:val="24"/>
        </w:rPr>
        <w:t>.</w:t>
      </w:r>
      <w:proofErr w:type="gramEnd"/>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b/>
          <w:bCs/>
          <w:sz w:val="24"/>
          <w:szCs w:val="24"/>
        </w:rPr>
      </w:pPr>
      <w:r>
        <w:rPr>
          <w:rFonts w:ascii="Arial" w:hAnsi="Arial" w:cs="Arial"/>
          <w:b/>
          <w:bCs/>
          <w:sz w:val="24"/>
          <w:szCs w:val="24"/>
        </w:rPr>
        <w:t xml:space="preserve">           </w:t>
      </w:r>
      <w:r w:rsidRPr="00B44573">
        <w:rPr>
          <w:rFonts w:ascii="Arial" w:hAnsi="Arial" w:cs="Arial"/>
          <w:b/>
          <w:bCs/>
          <w:sz w:val="24"/>
          <w:szCs w:val="24"/>
        </w:rPr>
        <w:t>Sub:  Information sought under Right to Information Act, 2005</w:t>
      </w:r>
      <w:r>
        <w:rPr>
          <w:rFonts w:ascii="Arial" w:hAnsi="Arial" w:cs="Arial"/>
          <w:b/>
          <w:bCs/>
          <w:sz w:val="24"/>
          <w:szCs w:val="24"/>
        </w:rPr>
        <w:t>.</w:t>
      </w:r>
    </w:p>
    <w:p w:rsidR="000E6A68" w:rsidRDefault="000E6A68" w:rsidP="000E6A68">
      <w:pPr>
        <w:spacing w:after="0" w:line="240" w:lineRule="auto"/>
        <w:ind w:left="720"/>
        <w:contextualSpacing/>
        <w:rPr>
          <w:rFonts w:ascii="Arial" w:hAnsi="Arial" w:cs="Arial"/>
          <w:b/>
          <w:bCs/>
          <w:sz w:val="24"/>
          <w:szCs w:val="24"/>
        </w:rPr>
      </w:pPr>
      <w:r>
        <w:rPr>
          <w:rFonts w:ascii="Arial" w:hAnsi="Arial" w:cs="Arial"/>
          <w:b/>
          <w:bCs/>
          <w:sz w:val="24"/>
          <w:szCs w:val="24"/>
        </w:rPr>
        <w:t xml:space="preserve"> </w:t>
      </w:r>
    </w:p>
    <w:p w:rsidR="000E6A68" w:rsidRDefault="000E6A68" w:rsidP="000E6A68">
      <w:pPr>
        <w:spacing w:after="0" w:line="240" w:lineRule="auto"/>
        <w:ind w:left="720"/>
        <w:contextualSpacing/>
        <w:rPr>
          <w:rFonts w:ascii="Arial" w:hAnsi="Arial" w:cs="Arial"/>
          <w:sz w:val="24"/>
          <w:szCs w:val="24"/>
        </w:rPr>
      </w:pPr>
      <w:r>
        <w:rPr>
          <w:rFonts w:ascii="Arial" w:hAnsi="Arial" w:cs="Arial"/>
          <w:sz w:val="24"/>
          <w:szCs w:val="24"/>
        </w:rPr>
        <w:t xml:space="preserve">           </w:t>
      </w:r>
      <w:r w:rsidRPr="00652116">
        <w:rPr>
          <w:rFonts w:ascii="Arial" w:hAnsi="Arial" w:cs="Arial"/>
          <w:sz w:val="24"/>
          <w:szCs w:val="24"/>
        </w:rPr>
        <w:t>Ref:  Your letter received in this office on 28/07/2011.</w:t>
      </w: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r>
        <w:rPr>
          <w:rFonts w:ascii="Arial" w:hAnsi="Arial" w:cs="Arial"/>
          <w:sz w:val="24"/>
          <w:szCs w:val="24"/>
        </w:rPr>
        <w:t>Dear Sir/Madam,</w:t>
      </w: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jc w:val="both"/>
        <w:rPr>
          <w:rFonts w:ascii="Arial" w:hAnsi="Arial" w:cs="Arial"/>
          <w:sz w:val="24"/>
          <w:szCs w:val="24"/>
        </w:rPr>
      </w:pPr>
      <w:r>
        <w:rPr>
          <w:rFonts w:ascii="Arial" w:hAnsi="Arial" w:cs="Arial"/>
          <w:sz w:val="24"/>
          <w:szCs w:val="24"/>
        </w:rPr>
        <w:t>Kindly refer to your letter which was received in this office on 28/07/2011, seeking information under the Right to Information Act, 2005.</w:t>
      </w: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jc w:val="both"/>
        <w:rPr>
          <w:rFonts w:ascii="Arial" w:hAnsi="Arial" w:cs="Arial"/>
          <w:sz w:val="24"/>
          <w:szCs w:val="24"/>
        </w:rPr>
      </w:pPr>
      <w:r>
        <w:rPr>
          <w:rFonts w:ascii="Arial" w:hAnsi="Arial" w:cs="Arial"/>
          <w:sz w:val="24"/>
          <w:szCs w:val="24"/>
        </w:rPr>
        <w:t>The requisite information as received from the Directorate (s) concerned is enclosed.</w:t>
      </w: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jc w:val="both"/>
        <w:rPr>
          <w:rFonts w:ascii="Arial" w:hAnsi="Arial" w:cs="Arial"/>
          <w:sz w:val="24"/>
          <w:szCs w:val="24"/>
        </w:rPr>
      </w:pPr>
      <w:r>
        <w:rPr>
          <w:rFonts w:ascii="Arial" w:hAnsi="Arial" w:cs="Arial"/>
          <w:sz w:val="24"/>
          <w:szCs w:val="24"/>
        </w:rPr>
        <w:t xml:space="preserve">However, in case you are not satisfied with the information, you may prefer an appeal within 30 days as provided in the Act to the Appellate Authority, </w:t>
      </w:r>
      <w:proofErr w:type="gramStart"/>
      <w:r>
        <w:rPr>
          <w:rFonts w:ascii="Arial" w:hAnsi="Arial" w:cs="Arial"/>
          <w:sz w:val="24"/>
          <w:szCs w:val="24"/>
        </w:rPr>
        <w:t>EDE(</w:t>
      </w:r>
      <w:proofErr w:type="gramEnd"/>
      <w:r>
        <w:rPr>
          <w:rFonts w:ascii="Arial" w:hAnsi="Arial" w:cs="Arial"/>
          <w:sz w:val="24"/>
          <w:szCs w:val="24"/>
        </w:rPr>
        <w:t xml:space="preserve">GC), Railway Board, Rail </w:t>
      </w:r>
      <w:proofErr w:type="spellStart"/>
      <w:r>
        <w:rPr>
          <w:rFonts w:ascii="Arial" w:hAnsi="Arial" w:cs="Arial"/>
          <w:sz w:val="24"/>
          <w:szCs w:val="24"/>
        </w:rPr>
        <w:t>Bhawan</w:t>
      </w:r>
      <w:proofErr w:type="spellEnd"/>
      <w:r>
        <w:rPr>
          <w:rFonts w:ascii="Arial" w:hAnsi="Arial" w:cs="Arial"/>
          <w:sz w:val="24"/>
          <w:szCs w:val="24"/>
        </w:rPr>
        <w:t xml:space="preserve">, </w:t>
      </w:r>
      <w:proofErr w:type="spellStart"/>
      <w:r>
        <w:rPr>
          <w:rFonts w:ascii="Arial" w:hAnsi="Arial" w:cs="Arial"/>
          <w:sz w:val="24"/>
          <w:szCs w:val="24"/>
        </w:rPr>
        <w:t>Raisina</w:t>
      </w:r>
      <w:proofErr w:type="spellEnd"/>
      <w:r>
        <w:rPr>
          <w:rFonts w:ascii="Arial" w:hAnsi="Arial" w:cs="Arial"/>
          <w:sz w:val="24"/>
          <w:szCs w:val="24"/>
        </w:rPr>
        <w:t xml:space="preserve"> Road, New Delhi-110001.</w:t>
      </w:r>
    </w:p>
    <w:p w:rsidR="000E6A68" w:rsidRDefault="000E6A68" w:rsidP="000E6A68">
      <w:pPr>
        <w:spacing w:after="0" w:line="240" w:lineRule="auto"/>
        <w:ind w:left="720"/>
        <w:contextualSpacing/>
        <w:jc w:val="both"/>
        <w:rPr>
          <w:rFonts w:ascii="Arial" w:hAnsi="Arial" w:cs="Arial"/>
          <w:sz w:val="24"/>
          <w:szCs w:val="24"/>
        </w:rPr>
      </w:pPr>
    </w:p>
    <w:p w:rsidR="000E6A68" w:rsidRDefault="000E6A68" w:rsidP="000E6A68">
      <w:pPr>
        <w:spacing w:after="0" w:line="240" w:lineRule="auto"/>
        <w:ind w:left="720"/>
        <w:contextualSpacing/>
        <w:jc w:val="both"/>
        <w:rPr>
          <w:rFonts w:ascii="Arial" w:hAnsi="Arial" w:cs="Arial"/>
          <w:sz w:val="24"/>
          <w:szCs w:val="24"/>
        </w:rPr>
      </w:pPr>
    </w:p>
    <w:p w:rsidR="000E6A68" w:rsidRDefault="000E6A68" w:rsidP="000E6A68">
      <w:pPr>
        <w:spacing w:after="0" w:line="240" w:lineRule="auto"/>
        <w:ind w:left="720"/>
        <w:contextualSpacing/>
        <w:jc w:val="right"/>
        <w:rPr>
          <w:rFonts w:ascii="Arial" w:hAnsi="Arial" w:cs="Arial"/>
          <w:sz w:val="24"/>
          <w:szCs w:val="24"/>
        </w:rPr>
      </w:pPr>
      <w:proofErr w:type="gramStart"/>
      <w:r>
        <w:rPr>
          <w:rFonts w:ascii="Arial" w:hAnsi="Arial" w:cs="Arial"/>
          <w:sz w:val="24"/>
          <w:szCs w:val="24"/>
        </w:rPr>
        <w:t>( B</w:t>
      </w:r>
      <w:proofErr w:type="gramEnd"/>
      <w:r>
        <w:rPr>
          <w:rFonts w:ascii="Arial" w:hAnsi="Arial" w:cs="Arial"/>
          <w:sz w:val="24"/>
          <w:szCs w:val="24"/>
        </w:rPr>
        <w:t>. MAJUMDAR)</w:t>
      </w:r>
    </w:p>
    <w:p w:rsidR="000E6A68" w:rsidRDefault="000E6A68" w:rsidP="000E6A68">
      <w:pPr>
        <w:spacing w:after="0" w:line="240" w:lineRule="auto"/>
        <w:ind w:left="720"/>
        <w:contextualSpacing/>
        <w:jc w:val="right"/>
        <w:rPr>
          <w:rFonts w:ascii="Arial" w:hAnsi="Arial" w:cs="Arial"/>
          <w:sz w:val="24"/>
          <w:szCs w:val="24"/>
        </w:rPr>
      </w:pPr>
      <w:r>
        <w:rPr>
          <w:rFonts w:ascii="Arial" w:hAnsi="Arial" w:cs="Arial"/>
          <w:sz w:val="24"/>
          <w:szCs w:val="24"/>
        </w:rPr>
        <w:t xml:space="preserve">CPIO-31 &amp; </w:t>
      </w:r>
      <w:proofErr w:type="spellStart"/>
      <w:proofErr w:type="gramStart"/>
      <w:r>
        <w:rPr>
          <w:rFonts w:ascii="Arial" w:hAnsi="Arial" w:cs="Arial"/>
          <w:sz w:val="24"/>
          <w:szCs w:val="24"/>
        </w:rPr>
        <w:t>Dir.E</w:t>
      </w:r>
      <w:proofErr w:type="spellEnd"/>
      <w:r>
        <w:rPr>
          <w:rFonts w:ascii="Arial" w:hAnsi="Arial" w:cs="Arial"/>
          <w:sz w:val="24"/>
          <w:szCs w:val="24"/>
        </w:rPr>
        <w:t>(</w:t>
      </w:r>
      <w:proofErr w:type="gramEnd"/>
      <w:r>
        <w:rPr>
          <w:rFonts w:ascii="Arial" w:hAnsi="Arial" w:cs="Arial"/>
          <w:sz w:val="24"/>
          <w:szCs w:val="24"/>
        </w:rPr>
        <w:t>GP)</w:t>
      </w:r>
    </w:p>
    <w:p w:rsidR="000E6A68" w:rsidRDefault="000E6A68" w:rsidP="000E6A68">
      <w:pPr>
        <w:spacing w:after="0" w:line="240" w:lineRule="auto"/>
        <w:ind w:left="720"/>
        <w:contextualSpacing/>
        <w:jc w:val="right"/>
        <w:rPr>
          <w:rFonts w:ascii="Arial" w:hAnsi="Arial" w:cs="Arial"/>
          <w:sz w:val="24"/>
          <w:szCs w:val="24"/>
        </w:rPr>
      </w:pPr>
      <w:r>
        <w:rPr>
          <w:rFonts w:ascii="Arial" w:hAnsi="Arial" w:cs="Arial"/>
          <w:sz w:val="24"/>
          <w:szCs w:val="24"/>
        </w:rPr>
        <w:t>Railway Board</w:t>
      </w:r>
    </w:p>
    <w:p w:rsidR="000E6A68" w:rsidRDefault="000E6A68" w:rsidP="000E6A68">
      <w:pPr>
        <w:spacing w:after="0" w:line="240" w:lineRule="auto"/>
        <w:ind w:left="720"/>
        <w:contextualSpacing/>
        <w:jc w:val="right"/>
        <w:rPr>
          <w:rFonts w:ascii="Arial" w:hAnsi="Arial" w:cs="Arial"/>
          <w:sz w:val="24"/>
          <w:szCs w:val="24"/>
        </w:rPr>
      </w:pPr>
      <w:proofErr w:type="spellStart"/>
      <w:r>
        <w:rPr>
          <w:rFonts w:ascii="Arial" w:hAnsi="Arial" w:cs="Arial"/>
          <w:sz w:val="24"/>
          <w:szCs w:val="24"/>
        </w:rPr>
        <w:t>Ph.No</w:t>
      </w:r>
      <w:proofErr w:type="spellEnd"/>
      <w:r>
        <w:rPr>
          <w:rFonts w:ascii="Arial" w:hAnsi="Arial" w:cs="Arial"/>
          <w:sz w:val="24"/>
          <w:szCs w:val="24"/>
        </w:rPr>
        <w:t>. 23383630</w:t>
      </w:r>
    </w:p>
    <w:p w:rsidR="000E6A68" w:rsidRDefault="000E6A68" w:rsidP="000E6A68">
      <w:pPr>
        <w:spacing w:after="0" w:line="240" w:lineRule="auto"/>
        <w:ind w:left="720"/>
        <w:contextualSpacing/>
        <w:jc w:val="right"/>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r>
        <w:rPr>
          <w:rFonts w:ascii="Arial" w:hAnsi="Arial" w:cs="Arial"/>
          <w:sz w:val="24"/>
          <w:szCs w:val="24"/>
        </w:rPr>
        <w:t>DA: As above.</w:t>
      </w: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sz w:val="24"/>
          <w:szCs w:val="24"/>
        </w:rPr>
      </w:pPr>
    </w:p>
    <w:p w:rsidR="000E6A68" w:rsidRDefault="000E6A68" w:rsidP="000E6A68">
      <w:pPr>
        <w:spacing w:after="0" w:line="240" w:lineRule="auto"/>
        <w:ind w:left="720"/>
        <w:contextualSpacing/>
        <w:rPr>
          <w:rFonts w:ascii="Arial" w:hAnsi="Arial" w:cs="Arial"/>
          <w:b/>
          <w:bCs/>
          <w:sz w:val="20"/>
        </w:rPr>
      </w:pPr>
    </w:p>
    <w:p w:rsidR="000E6A68" w:rsidRPr="00846B9D" w:rsidRDefault="000E6A68" w:rsidP="000E6A68">
      <w:pPr>
        <w:spacing w:after="0" w:line="240" w:lineRule="auto"/>
        <w:ind w:left="720"/>
        <w:contextualSpacing/>
        <w:rPr>
          <w:rFonts w:ascii="Arial" w:hAnsi="Arial" w:cs="Arial"/>
          <w:b/>
          <w:bCs/>
          <w:sz w:val="20"/>
        </w:rPr>
      </w:pPr>
      <w:r w:rsidRPr="00846B9D">
        <w:rPr>
          <w:rFonts w:ascii="Arial" w:hAnsi="Arial" w:cs="Arial"/>
          <w:b/>
          <w:bCs/>
          <w:sz w:val="20"/>
        </w:rPr>
        <w:lastRenderedPageBreak/>
        <w:t>No: RTI/2011/010018021</w:t>
      </w:r>
    </w:p>
    <w:p w:rsidR="000E6A68" w:rsidRPr="00846B9D" w:rsidRDefault="000E6A68" w:rsidP="000E6A68">
      <w:pPr>
        <w:spacing w:after="0" w:line="240" w:lineRule="auto"/>
        <w:ind w:left="720"/>
        <w:contextualSpacing/>
        <w:rPr>
          <w:rFonts w:ascii="Arial" w:hAnsi="Arial" w:cs="Arial"/>
          <w:b/>
          <w:bCs/>
          <w:sz w:val="20"/>
        </w:rPr>
      </w:pPr>
      <w:r w:rsidRPr="00846B9D">
        <w:rPr>
          <w:rFonts w:ascii="Arial" w:hAnsi="Arial" w:cs="Arial"/>
          <w:b/>
          <w:bCs/>
          <w:sz w:val="20"/>
        </w:rPr>
        <w:t xml:space="preserve"> </w:t>
      </w:r>
    </w:p>
    <w:p w:rsidR="000E6A68" w:rsidRPr="00846B9D" w:rsidRDefault="000E6A68" w:rsidP="000E6A68">
      <w:pPr>
        <w:spacing w:after="0" w:line="240" w:lineRule="auto"/>
        <w:ind w:left="720"/>
        <w:contextualSpacing/>
        <w:rPr>
          <w:rFonts w:ascii="Arial" w:hAnsi="Arial" w:cs="Arial"/>
          <w:sz w:val="20"/>
        </w:rPr>
      </w:pPr>
      <w:r w:rsidRPr="00846B9D">
        <w:rPr>
          <w:rFonts w:ascii="Arial" w:hAnsi="Arial" w:cs="Arial"/>
          <w:b/>
          <w:bCs/>
          <w:sz w:val="20"/>
        </w:rPr>
        <w:t xml:space="preserve">             </w:t>
      </w:r>
      <w:r w:rsidRPr="00846B9D">
        <w:rPr>
          <w:rFonts w:ascii="Arial" w:hAnsi="Arial" w:cs="Arial"/>
          <w:sz w:val="20"/>
        </w:rPr>
        <w:t xml:space="preserve">Sub:  Information sought by </w:t>
      </w:r>
      <w:proofErr w:type="spellStart"/>
      <w:r w:rsidRPr="00846B9D">
        <w:rPr>
          <w:rFonts w:ascii="Arial" w:hAnsi="Arial" w:cs="Arial"/>
          <w:sz w:val="20"/>
        </w:rPr>
        <w:t>Shri</w:t>
      </w:r>
      <w:proofErr w:type="spellEnd"/>
      <w:r w:rsidRPr="00846B9D">
        <w:rPr>
          <w:rFonts w:ascii="Arial" w:hAnsi="Arial" w:cs="Arial"/>
          <w:sz w:val="20"/>
        </w:rPr>
        <w:t xml:space="preserve"> S.K. </w:t>
      </w:r>
      <w:proofErr w:type="spellStart"/>
      <w:r w:rsidRPr="00846B9D">
        <w:rPr>
          <w:rFonts w:ascii="Arial" w:hAnsi="Arial" w:cs="Arial"/>
          <w:sz w:val="20"/>
        </w:rPr>
        <w:t>Bansal</w:t>
      </w:r>
      <w:proofErr w:type="spellEnd"/>
      <w:r w:rsidRPr="00846B9D">
        <w:rPr>
          <w:rFonts w:ascii="Arial" w:hAnsi="Arial" w:cs="Arial"/>
          <w:sz w:val="20"/>
        </w:rPr>
        <w:t>.</w:t>
      </w:r>
    </w:p>
    <w:p w:rsidR="000E6A68" w:rsidRPr="00846B9D" w:rsidRDefault="000E6A68" w:rsidP="000E6A68">
      <w:pPr>
        <w:spacing w:after="0" w:line="240" w:lineRule="auto"/>
        <w:ind w:left="720"/>
        <w:contextualSpacing/>
        <w:rPr>
          <w:rFonts w:ascii="Arial" w:hAnsi="Arial" w:cs="Arial"/>
          <w:sz w:val="20"/>
        </w:rPr>
      </w:pPr>
    </w:p>
    <w:p w:rsidR="000E6A68" w:rsidRPr="00846B9D" w:rsidRDefault="000E6A68" w:rsidP="000E6A68">
      <w:pPr>
        <w:spacing w:after="0" w:line="240" w:lineRule="auto"/>
        <w:ind w:left="720"/>
        <w:contextualSpacing/>
        <w:rPr>
          <w:rFonts w:ascii="Arial" w:hAnsi="Arial" w:cs="Arial"/>
          <w:sz w:val="20"/>
        </w:rPr>
      </w:pPr>
      <w:r w:rsidRPr="00846B9D">
        <w:rPr>
          <w:rFonts w:ascii="Arial" w:hAnsi="Arial" w:cs="Arial"/>
          <w:sz w:val="20"/>
        </w:rPr>
        <w:t xml:space="preserve">             Ref:  Case No. RB/RTI Cell/2010/010018021 seeking information </w:t>
      </w:r>
    </w:p>
    <w:p w:rsidR="000E6A68" w:rsidRPr="00846B9D" w:rsidRDefault="000E6A68" w:rsidP="000E6A68">
      <w:pPr>
        <w:spacing w:after="0" w:line="240" w:lineRule="auto"/>
        <w:ind w:left="720"/>
        <w:contextualSpacing/>
        <w:rPr>
          <w:rFonts w:ascii="Arial" w:hAnsi="Arial" w:cs="Arial"/>
          <w:sz w:val="20"/>
        </w:rPr>
      </w:pPr>
      <w:r w:rsidRPr="00846B9D">
        <w:rPr>
          <w:rFonts w:ascii="Arial" w:hAnsi="Arial" w:cs="Arial"/>
          <w:sz w:val="20"/>
        </w:rPr>
        <w:t xml:space="preserve">                      </w:t>
      </w:r>
      <w:proofErr w:type="gramStart"/>
      <w:r w:rsidRPr="00846B9D">
        <w:rPr>
          <w:rFonts w:ascii="Arial" w:hAnsi="Arial" w:cs="Arial"/>
          <w:sz w:val="20"/>
        </w:rPr>
        <w:t>under</w:t>
      </w:r>
      <w:proofErr w:type="gramEnd"/>
      <w:r w:rsidRPr="00846B9D">
        <w:rPr>
          <w:rFonts w:ascii="Arial" w:hAnsi="Arial" w:cs="Arial"/>
          <w:sz w:val="20"/>
        </w:rPr>
        <w:t xml:space="preserve"> the RTI Act.</w:t>
      </w:r>
    </w:p>
    <w:p w:rsidR="000E6A68" w:rsidRPr="00846B9D" w:rsidRDefault="000E6A68" w:rsidP="000E6A68">
      <w:pPr>
        <w:spacing w:after="0" w:line="240" w:lineRule="auto"/>
        <w:ind w:left="720"/>
        <w:contextualSpacing/>
        <w:rPr>
          <w:rFonts w:ascii="Arial" w:hAnsi="Arial" w:cs="Arial"/>
          <w:sz w:val="20"/>
        </w:rPr>
      </w:pPr>
    </w:p>
    <w:tbl>
      <w:tblPr>
        <w:tblStyle w:val="TableGrid"/>
        <w:tblW w:w="10350" w:type="dxa"/>
        <w:tblInd w:w="18" w:type="dxa"/>
        <w:tblLayout w:type="fixed"/>
        <w:tblLook w:val="04A0"/>
      </w:tblPr>
      <w:tblGrid>
        <w:gridCol w:w="630"/>
        <w:gridCol w:w="630"/>
        <w:gridCol w:w="4410"/>
        <w:gridCol w:w="3420"/>
        <w:gridCol w:w="1260"/>
      </w:tblGrid>
      <w:tr w:rsidR="000E6A68" w:rsidRPr="00846B9D" w:rsidTr="00AD4BD8">
        <w:tc>
          <w:tcPr>
            <w:tcW w:w="630" w:type="dxa"/>
          </w:tcPr>
          <w:p w:rsidR="000E6A68" w:rsidRPr="00846B9D" w:rsidRDefault="000E6A68" w:rsidP="00AD4BD8">
            <w:pPr>
              <w:contextualSpacing/>
              <w:rPr>
                <w:rFonts w:ascii="Arial" w:hAnsi="Arial" w:cs="Arial"/>
                <w:sz w:val="20"/>
              </w:rPr>
            </w:pPr>
            <w:proofErr w:type="spellStart"/>
            <w:r w:rsidRPr="00846B9D">
              <w:rPr>
                <w:rFonts w:ascii="Arial" w:hAnsi="Arial" w:cs="Arial"/>
                <w:sz w:val="20"/>
              </w:rPr>
              <w:t>S.No</w:t>
            </w:r>
            <w:proofErr w:type="spellEnd"/>
            <w:r w:rsidRPr="00846B9D">
              <w:rPr>
                <w:rFonts w:ascii="Arial" w:hAnsi="Arial" w:cs="Arial"/>
                <w:sz w:val="20"/>
              </w:rPr>
              <w:t>.</w:t>
            </w:r>
          </w:p>
        </w:tc>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Item No(s)</w:t>
            </w:r>
          </w:p>
        </w:tc>
        <w:tc>
          <w:tcPr>
            <w:tcW w:w="4410" w:type="dxa"/>
          </w:tcPr>
          <w:p w:rsidR="000E6A68" w:rsidRPr="00846B9D" w:rsidRDefault="000E6A68" w:rsidP="00AD4BD8">
            <w:pPr>
              <w:contextualSpacing/>
              <w:rPr>
                <w:rFonts w:ascii="Arial" w:hAnsi="Arial" w:cs="Arial"/>
                <w:sz w:val="20"/>
              </w:rPr>
            </w:pPr>
            <w:r w:rsidRPr="00846B9D">
              <w:rPr>
                <w:rFonts w:ascii="Arial" w:hAnsi="Arial" w:cs="Arial"/>
                <w:sz w:val="20"/>
              </w:rPr>
              <w:t>Information sought by the Party</w:t>
            </w:r>
          </w:p>
        </w:tc>
        <w:tc>
          <w:tcPr>
            <w:tcW w:w="3420" w:type="dxa"/>
          </w:tcPr>
          <w:p w:rsidR="000E6A68" w:rsidRPr="00846B9D" w:rsidRDefault="000E6A68" w:rsidP="00AD4BD8">
            <w:pPr>
              <w:contextualSpacing/>
              <w:rPr>
                <w:rFonts w:ascii="Arial" w:hAnsi="Arial" w:cs="Arial"/>
                <w:sz w:val="20"/>
              </w:rPr>
            </w:pPr>
            <w:r w:rsidRPr="00846B9D">
              <w:rPr>
                <w:rFonts w:ascii="Arial" w:hAnsi="Arial" w:cs="Arial"/>
                <w:sz w:val="20"/>
              </w:rPr>
              <w:t>Ministry’s response (reply text)</w:t>
            </w:r>
          </w:p>
        </w:tc>
        <w:tc>
          <w:tcPr>
            <w:tcW w:w="1260" w:type="dxa"/>
          </w:tcPr>
          <w:p w:rsidR="000E6A68" w:rsidRPr="00846B9D" w:rsidRDefault="000E6A68" w:rsidP="00AD4BD8">
            <w:pPr>
              <w:contextualSpacing/>
              <w:rPr>
                <w:rFonts w:ascii="Arial" w:hAnsi="Arial" w:cs="Arial"/>
                <w:sz w:val="20"/>
              </w:rPr>
            </w:pPr>
            <w:r w:rsidRPr="00C1621D">
              <w:rPr>
                <w:rFonts w:ascii="Arial" w:hAnsi="Arial" w:cs="Arial"/>
                <w:sz w:val="18"/>
                <w:szCs w:val="18"/>
              </w:rPr>
              <w:t>Annexure (Certificate No. detailed file noting</w:t>
            </w:r>
            <w:r w:rsidRPr="00846B9D">
              <w:rPr>
                <w:rFonts w:ascii="Arial" w:hAnsi="Arial" w:cs="Arial"/>
                <w:sz w:val="20"/>
              </w:rPr>
              <w:t>)</w:t>
            </w:r>
          </w:p>
        </w:tc>
      </w:tr>
      <w:tr w:rsidR="000E6A68" w:rsidRPr="00846B9D" w:rsidTr="00AD4BD8">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1</w:t>
            </w:r>
          </w:p>
        </w:tc>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1</w:t>
            </w: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r w:rsidRPr="00846B9D">
              <w:rPr>
                <w:rFonts w:ascii="Arial" w:hAnsi="Arial" w:cs="Arial"/>
                <w:sz w:val="20"/>
              </w:rPr>
              <w:t>3</w:t>
            </w: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r w:rsidRPr="00846B9D">
              <w:rPr>
                <w:rFonts w:ascii="Arial" w:hAnsi="Arial" w:cs="Arial"/>
                <w:sz w:val="20"/>
              </w:rPr>
              <w:t>4</w:t>
            </w: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r w:rsidRPr="00846B9D">
              <w:rPr>
                <w:rFonts w:ascii="Arial" w:hAnsi="Arial" w:cs="Arial"/>
                <w:sz w:val="20"/>
              </w:rPr>
              <w:t>5</w:t>
            </w:r>
          </w:p>
        </w:tc>
        <w:tc>
          <w:tcPr>
            <w:tcW w:w="4410" w:type="dxa"/>
          </w:tcPr>
          <w:p w:rsidR="000E6A68" w:rsidRPr="00846B9D" w:rsidRDefault="000E6A68" w:rsidP="00AD4BD8">
            <w:pPr>
              <w:contextualSpacing/>
              <w:jc w:val="both"/>
              <w:rPr>
                <w:rFonts w:ascii="Arial" w:hAnsi="Arial" w:cs="Arial"/>
                <w:sz w:val="20"/>
              </w:rPr>
            </w:pPr>
            <w:r w:rsidRPr="00846B9D">
              <w:rPr>
                <w:rFonts w:ascii="Arial" w:hAnsi="Arial" w:cs="Arial"/>
                <w:sz w:val="20"/>
              </w:rPr>
              <w:t>Whether in the event of review of DPCs, the system of creating supernumerary posts is being adopted by the Railway Ministry every time.</w:t>
            </w:r>
          </w:p>
          <w:p w:rsidR="000E6A68" w:rsidRPr="00846B9D" w:rsidRDefault="000E6A68" w:rsidP="00AD4BD8">
            <w:pPr>
              <w:contextualSpacing/>
              <w:jc w:val="both"/>
              <w:rPr>
                <w:rFonts w:ascii="Arial" w:hAnsi="Arial" w:cs="Arial"/>
                <w:sz w:val="20"/>
              </w:rPr>
            </w:pPr>
          </w:p>
          <w:p w:rsidR="000E6A68" w:rsidRPr="00846B9D" w:rsidRDefault="000E6A68" w:rsidP="00AD4BD8">
            <w:pPr>
              <w:contextualSpacing/>
              <w:jc w:val="both"/>
              <w:rPr>
                <w:rFonts w:ascii="Arial" w:hAnsi="Arial" w:cs="Arial"/>
                <w:sz w:val="20"/>
              </w:rPr>
            </w:pPr>
            <w:r w:rsidRPr="00846B9D">
              <w:rPr>
                <w:rFonts w:ascii="Arial" w:hAnsi="Arial" w:cs="Arial"/>
                <w:sz w:val="20"/>
              </w:rPr>
              <w:t xml:space="preserve">If not, why this system has been adopted while reviewing the DPCs of Traffic </w:t>
            </w:r>
            <w:proofErr w:type="spellStart"/>
            <w:r w:rsidRPr="00846B9D">
              <w:rPr>
                <w:rFonts w:ascii="Arial" w:hAnsi="Arial" w:cs="Arial"/>
                <w:sz w:val="20"/>
              </w:rPr>
              <w:t>Deptt</w:t>
            </w:r>
            <w:proofErr w:type="spellEnd"/>
            <w:r w:rsidRPr="00846B9D">
              <w:rPr>
                <w:rFonts w:ascii="Arial" w:hAnsi="Arial" w:cs="Arial"/>
                <w:sz w:val="20"/>
              </w:rPr>
              <w:t>.  DPC for the year 2005-2006?</w:t>
            </w:r>
          </w:p>
          <w:p w:rsidR="000E6A68" w:rsidRPr="00846B9D" w:rsidRDefault="000E6A68" w:rsidP="00AD4BD8">
            <w:pPr>
              <w:contextualSpacing/>
              <w:jc w:val="both"/>
              <w:rPr>
                <w:rFonts w:ascii="Arial" w:hAnsi="Arial" w:cs="Arial"/>
                <w:sz w:val="20"/>
              </w:rPr>
            </w:pPr>
          </w:p>
          <w:p w:rsidR="000E6A68" w:rsidRPr="00846B9D" w:rsidRDefault="000E6A68" w:rsidP="00AD4BD8">
            <w:pPr>
              <w:contextualSpacing/>
              <w:jc w:val="both"/>
              <w:rPr>
                <w:rFonts w:ascii="Arial" w:hAnsi="Arial" w:cs="Arial"/>
                <w:sz w:val="20"/>
              </w:rPr>
            </w:pPr>
            <w:r w:rsidRPr="00846B9D">
              <w:rPr>
                <w:rFonts w:ascii="Arial" w:hAnsi="Arial" w:cs="Arial"/>
                <w:sz w:val="20"/>
              </w:rPr>
              <w:t xml:space="preserve">Whether by adopting this system, the number of vacancies for </w:t>
            </w:r>
            <w:proofErr w:type="spellStart"/>
            <w:r w:rsidRPr="00846B9D">
              <w:rPr>
                <w:rFonts w:ascii="Arial" w:hAnsi="Arial" w:cs="Arial"/>
                <w:sz w:val="20"/>
              </w:rPr>
              <w:t>N.Rly</w:t>
            </w:r>
            <w:proofErr w:type="spellEnd"/>
            <w:r w:rsidRPr="00846B9D">
              <w:rPr>
                <w:rFonts w:ascii="Arial" w:hAnsi="Arial" w:cs="Arial"/>
                <w:sz w:val="20"/>
              </w:rPr>
              <w:t xml:space="preserve"> which were fixed </w:t>
            </w:r>
            <w:proofErr w:type="gramStart"/>
            <w:r w:rsidRPr="00846B9D">
              <w:rPr>
                <w:rFonts w:ascii="Arial" w:hAnsi="Arial" w:cs="Arial"/>
                <w:sz w:val="20"/>
              </w:rPr>
              <w:t>earlier  (</w:t>
            </w:r>
            <w:proofErr w:type="gramEnd"/>
            <w:r w:rsidRPr="00846B9D">
              <w:rPr>
                <w:rFonts w:ascii="Arial" w:hAnsi="Arial" w:cs="Arial"/>
                <w:sz w:val="20"/>
              </w:rPr>
              <w:t>perhaps 18) were increased by 3 Nos.</w:t>
            </w:r>
          </w:p>
          <w:p w:rsidR="000E6A68" w:rsidRPr="00846B9D" w:rsidRDefault="000E6A68" w:rsidP="00AD4BD8">
            <w:pPr>
              <w:contextualSpacing/>
              <w:jc w:val="both"/>
              <w:rPr>
                <w:rFonts w:ascii="Arial" w:hAnsi="Arial" w:cs="Arial"/>
                <w:sz w:val="20"/>
              </w:rPr>
            </w:pPr>
          </w:p>
          <w:p w:rsidR="000E6A68" w:rsidRPr="00846B9D" w:rsidRDefault="000E6A68" w:rsidP="00AD4BD8">
            <w:pPr>
              <w:contextualSpacing/>
              <w:jc w:val="both"/>
              <w:rPr>
                <w:rFonts w:ascii="Arial" w:hAnsi="Arial" w:cs="Arial"/>
                <w:sz w:val="20"/>
              </w:rPr>
            </w:pPr>
            <w:r w:rsidRPr="00846B9D">
              <w:rPr>
                <w:rFonts w:ascii="Arial" w:hAnsi="Arial" w:cs="Arial"/>
                <w:sz w:val="20"/>
              </w:rPr>
              <w:t>If so, whether this is the normal system of doing the DPCs.  If not what system was being used earlier to this, and after this DPC for traffic and other department DPCs.</w:t>
            </w:r>
          </w:p>
        </w:tc>
        <w:tc>
          <w:tcPr>
            <w:tcW w:w="3420" w:type="dxa"/>
          </w:tcPr>
          <w:p w:rsidR="000E6A68" w:rsidRPr="00846B9D" w:rsidRDefault="000E6A68" w:rsidP="00AD4BD8">
            <w:pPr>
              <w:contextualSpacing/>
              <w:rPr>
                <w:rFonts w:ascii="Arial" w:hAnsi="Arial" w:cs="Arial"/>
                <w:sz w:val="20"/>
              </w:rPr>
            </w:pPr>
            <w:r w:rsidRPr="00846B9D">
              <w:rPr>
                <w:rFonts w:ascii="Arial" w:hAnsi="Arial" w:cs="Arial"/>
                <w:b/>
                <w:bCs/>
                <w:sz w:val="20"/>
                <w:u w:val="single"/>
              </w:rPr>
              <w:t>Item 1,3,4 &amp; 5</w:t>
            </w:r>
          </w:p>
          <w:p w:rsidR="000E6A68" w:rsidRPr="00846B9D" w:rsidRDefault="000E6A68" w:rsidP="00AD4BD8">
            <w:pPr>
              <w:contextualSpacing/>
              <w:rPr>
                <w:rFonts w:ascii="Arial" w:hAnsi="Arial" w:cs="Arial"/>
                <w:sz w:val="20"/>
              </w:rPr>
            </w:pPr>
          </w:p>
          <w:p w:rsidR="000E6A68" w:rsidRPr="00846B9D" w:rsidRDefault="000E6A68" w:rsidP="00AD4BD8">
            <w:pPr>
              <w:contextualSpacing/>
              <w:rPr>
                <w:rFonts w:ascii="Arial" w:hAnsi="Arial" w:cs="Arial"/>
                <w:sz w:val="20"/>
              </w:rPr>
            </w:pPr>
          </w:p>
          <w:p w:rsidR="000E6A68" w:rsidRPr="00846B9D" w:rsidRDefault="000E6A68" w:rsidP="00AD4BD8">
            <w:pPr>
              <w:contextualSpacing/>
              <w:jc w:val="both"/>
              <w:rPr>
                <w:rFonts w:ascii="Arial" w:hAnsi="Arial" w:cs="Arial"/>
                <w:sz w:val="20"/>
              </w:rPr>
            </w:pPr>
            <w:r w:rsidRPr="00846B9D">
              <w:rPr>
                <w:rFonts w:ascii="Arial" w:hAnsi="Arial" w:cs="Arial"/>
                <w:sz w:val="20"/>
              </w:rPr>
              <w:t>Information sought has already been furnished in reply to items (ii) to (xii) of the initial application, vide letter No. RTI Cell/2009/01005399.</w:t>
            </w:r>
          </w:p>
        </w:tc>
        <w:tc>
          <w:tcPr>
            <w:tcW w:w="1260" w:type="dxa"/>
          </w:tcPr>
          <w:p w:rsidR="000E6A68" w:rsidRPr="00846B9D" w:rsidRDefault="000E6A68" w:rsidP="00AD4BD8">
            <w:pPr>
              <w:contextualSpacing/>
              <w:rPr>
                <w:rFonts w:ascii="Arial" w:hAnsi="Arial" w:cs="Arial"/>
                <w:sz w:val="20"/>
              </w:rPr>
            </w:pPr>
          </w:p>
        </w:tc>
      </w:tr>
      <w:tr w:rsidR="000E6A68" w:rsidRPr="00846B9D" w:rsidTr="00AD4BD8">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2</w:t>
            </w:r>
          </w:p>
        </w:tc>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2</w:t>
            </w:r>
          </w:p>
        </w:tc>
        <w:tc>
          <w:tcPr>
            <w:tcW w:w="4410" w:type="dxa"/>
          </w:tcPr>
          <w:p w:rsidR="000E6A68" w:rsidRPr="00846B9D" w:rsidRDefault="000E6A68" w:rsidP="00AD4BD8">
            <w:pPr>
              <w:contextualSpacing/>
              <w:jc w:val="both"/>
              <w:rPr>
                <w:rFonts w:ascii="Arial" w:hAnsi="Arial" w:cs="Arial"/>
                <w:sz w:val="20"/>
              </w:rPr>
            </w:pPr>
            <w:r w:rsidRPr="00846B9D">
              <w:rPr>
                <w:rFonts w:ascii="Arial" w:hAnsi="Arial" w:cs="Arial"/>
                <w:sz w:val="20"/>
              </w:rPr>
              <w:t>If so, in which DPCs belonging to Traffic or other departments this system was adopted during last 15 years.</w:t>
            </w:r>
          </w:p>
        </w:tc>
        <w:tc>
          <w:tcPr>
            <w:tcW w:w="3420" w:type="dxa"/>
          </w:tcPr>
          <w:p w:rsidR="000E6A68" w:rsidRPr="00846B9D" w:rsidRDefault="000E6A68" w:rsidP="00AD4BD8">
            <w:pPr>
              <w:contextualSpacing/>
              <w:jc w:val="both"/>
              <w:rPr>
                <w:rFonts w:ascii="Arial" w:hAnsi="Arial" w:cs="Arial"/>
                <w:b/>
                <w:bCs/>
                <w:sz w:val="20"/>
                <w:u w:val="single"/>
              </w:rPr>
            </w:pPr>
            <w:r w:rsidRPr="00846B9D">
              <w:rPr>
                <w:rFonts w:ascii="Arial" w:hAnsi="Arial" w:cs="Arial"/>
                <w:b/>
                <w:bCs/>
                <w:sz w:val="20"/>
                <w:u w:val="single"/>
              </w:rPr>
              <w:t>I</w:t>
            </w:r>
            <w:r w:rsidRPr="00846B9D">
              <w:rPr>
                <w:rFonts w:ascii="Arial" w:hAnsi="Arial" w:cs="Arial"/>
                <w:sz w:val="20"/>
              </w:rPr>
              <w:t>t would not be possible to furnish the information in the form in which it has been sought, in terms of the RTI Act, 2005, as it would disproportionately divert the resources of the public authority.</w:t>
            </w:r>
          </w:p>
        </w:tc>
        <w:tc>
          <w:tcPr>
            <w:tcW w:w="1260" w:type="dxa"/>
          </w:tcPr>
          <w:p w:rsidR="000E6A68" w:rsidRPr="00846B9D" w:rsidRDefault="000E6A68" w:rsidP="00AD4BD8">
            <w:pPr>
              <w:contextualSpacing/>
              <w:rPr>
                <w:rFonts w:ascii="Arial" w:hAnsi="Arial" w:cs="Arial"/>
                <w:sz w:val="20"/>
              </w:rPr>
            </w:pPr>
          </w:p>
        </w:tc>
      </w:tr>
      <w:tr w:rsidR="000E6A68" w:rsidRPr="00846B9D" w:rsidTr="00AD4BD8">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3</w:t>
            </w:r>
          </w:p>
        </w:tc>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6</w:t>
            </w:r>
          </w:p>
        </w:tc>
        <w:tc>
          <w:tcPr>
            <w:tcW w:w="4410" w:type="dxa"/>
          </w:tcPr>
          <w:p w:rsidR="000E6A68" w:rsidRPr="00846B9D" w:rsidRDefault="000E6A68" w:rsidP="00AD4BD8">
            <w:pPr>
              <w:contextualSpacing/>
              <w:jc w:val="both"/>
              <w:rPr>
                <w:rFonts w:ascii="Arial" w:hAnsi="Arial" w:cs="Arial"/>
                <w:sz w:val="20"/>
              </w:rPr>
            </w:pPr>
            <w:r w:rsidRPr="00846B9D">
              <w:rPr>
                <w:rFonts w:ascii="Arial" w:hAnsi="Arial" w:cs="Arial"/>
                <w:sz w:val="20"/>
              </w:rPr>
              <w:t xml:space="preserve">Whether the same system was adopted while reviewing the DPCs 1994 to 2000 in terms of  Supreme Court’s judgment for S&amp;T </w:t>
            </w:r>
            <w:proofErr w:type="spellStart"/>
            <w:r w:rsidRPr="00846B9D">
              <w:rPr>
                <w:rFonts w:ascii="Arial" w:hAnsi="Arial" w:cs="Arial"/>
                <w:sz w:val="20"/>
              </w:rPr>
              <w:t>Deptt</w:t>
            </w:r>
            <w:proofErr w:type="spellEnd"/>
            <w:r w:rsidRPr="00846B9D">
              <w:rPr>
                <w:rFonts w:ascii="Arial" w:hAnsi="Arial" w:cs="Arial"/>
                <w:sz w:val="20"/>
              </w:rPr>
              <w:t xml:space="preserve"> if not, the reasons thereof and if yes, furnish the details of supernumerary posts thus created.</w:t>
            </w:r>
          </w:p>
        </w:tc>
        <w:tc>
          <w:tcPr>
            <w:tcW w:w="3420" w:type="dxa"/>
          </w:tcPr>
          <w:p w:rsidR="000E6A68" w:rsidRPr="00846B9D" w:rsidRDefault="000E6A68" w:rsidP="00AD4BD8">
            <w:pPr>
              <w:contextualSpacing/>
              <w:jc w:val="both"/>
              <w:rPr>
                <w:rFonts w:ascii="Arial" w:hAnsi="Arial" w:cs="Arial"/>
                <w:sz w:val="20"/>
              </w:rPr>
            </w:pPr>
            <w:r w:rsidRPr="00846B9D">
              <w:rPr>
                <w:rFonts w:ascii="Arial" w:hAnsi="Arial" w:cs="Arial"/>
                <w:sz w:val="20"/>
              </w:rPr>
              <w:t xml:space="preserve">As already </w:t>
            </w:r>
            <w:proofErr w:type="gramStart"/>
            <w:r w:rsidRPr="00846B9D">
              <w:rPr>
                <w:rFonts w:ascii="Arial" w:hAnsi="Arial" w:cs="Arial"/>
                <w:sz w:val="20"/>
              </w:rPr>
              <w:t>mentioned</w:t>
            </w:r>
            <w:r w:rsidRPr="00846B9D">
              <w:rPr>
                <w:rFonts w:ascii="Arial" w:hAnsi="Arial" w:cs="Arial"/>
                <w:b/>
                <w:bCs/>
                <w:sz w:val="20"/>
                <w:u w:val="single"/>
              </w:rPr>
              <w:t xml:space="preserve"> </w:t>
            </w:r>
            <w:r w:rsidRPr="00846B9D">
              <w:rPr>
                <w:rFonts w:ascii="Arial" w:hAnsi="Arial" w:cs="Arial"/>
                <w:sz w:val="20"/>
              </w:rPr>
              <w:t xml:space="preserve"> in</w:t>
            </w:r>
            <w:proofErr w:type="gramEnd"/>
            <w:r w:rsidRPr="00846B9D">
              <w:rPr>
                <w:rFonts w:ascii="Arial" w:hAnsi="Arial" w:cs="Arial"/>
                <w:sz w:val="20"/>
              </w:rPr>
              <w:t xml:space="preserve"> the reply vide letter No. RTI Cell/2009/ 01005399, limited review of DPC is necessitated due to change in feeder grade seniority.  In the case of S&amp;T department, there was no question of change in feeder grade seniority.  The situation, therefore, did not call for any limited review  </w:t>
            </w:r>
          </w:p>
        </w:tc>
        <w:tc>
          <w:tcPr>
            <w:tcW w:w="1260" w:type="dxa"/>
          </w:tcPr>
          <w:p w:rsidR="000E6A68" w:rsidRPr="00846B9D" w:rsidRDefault="000E6A68" w:rsidP="00AD4BD8">
            <w:pPr>
              <w:contextualSpacing/>
              <w:rPr>
                <w:rFonts w:ascii="Arial" w:hAnsi="Arial" w:cs="Arial"/>
                <w:sz w:val="20"/>
              </w:rPr>
            </w:pPr>
          </w:p>
        </w:tc>
      </w:tr>
      <w:tr w:rsidR="000E6A68" w:rsidRPr="00846B9D" w:rsidTr="00AD4BD8">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4</w:t>
            </w:r>
          </w:p>
        </w:tc>
        <w:tc>
          <w:tcPr>
            <w:tcW w:w="630" w:type="dxa"/>
          </w:tcPr>
          <w:p w:rsidR="000E6A68" w:rsidRPr="00846B9D" w:rsidRDefault="000E6A68" w:rsidP="00AD4BD8">
            <w:pPr>
              <w:contextualSpacing/>
              <w:rPr>
                <w:rFonts w:ascii="Arial" w:hAnsi="Arial" w:cs="Arial"/>
                <w:sz w:val="20"/>
              </w:rPr>
            </w:pPr>
            <w:r w:rsidRPr="00846B9D">
              <w:rPr>
                <w:rFonts w:ascii="Arial" w:hAnsi="Arial" w:cs="Arial"/>
                <w:sz w:val="20"/>
              </w:rPr>
              <w:t>7</w:t>
            </w:r>
          </w:p>
        </w:tc>
        <w:tc>
          <w:tcPr>
            <w:tcW w:w="4410" w:type="dxa"/>
          </w:tcPr>
          <w:p w:rsidR="000E6A68" w:rsidRPr="00846B9D" w:rsidRDefault="000E6A68" w:rsidP="00AD4BD8">
            <w:pPr>
              <w:contextualSpacing/>
              <w:jc w:val="both"/>
              <w:rPr>
                <w:rFonts w:ascii="Arial" w:hAnsi="Arial" w:cs="Arial"/>
                <w:sz w:val="20"/>
              </w:rPr>
            </w:pPr>
            <w:r w:rsidRPr="00846B9D">
              <w:rPr>
                <w:rFonts w:ascii="Arial" w:hAnsi="Arial" w:cs="Arial"/>
                <w:sz w:val="20"/>
              </w:rPr>
              <w:t xml:space="preserve">If the normal system of downgrading the junior most person to next year’s panel, would have been adopted in the Traffic </w:t>
            </w:r>
            <w:proofErr w:type="spellStart"/>
            <w:r w:rsidRPr="00846B9D">
              <w:rPr>
                <w:rFonts w:ascii="Arial" w:hAnsi="Arial" w:cs="Arial"/>
                <w:sz w:val="20"/>
              </w:rPr>
              <w:t>Deptt</w:t>
            </w:r>
            <w:proofErr w:type="spellEnd"/>
            <w:r w:rsidRPr="00846B9D">
              <w:rPr>
                <w:rFonts w:ascii="Arial" w:hAnsi="Arial" w:cs="Arial"/>
                <w:sz w:val="20"/>
              </w:rPr>
              <w:t xml:space="preserve">. </w:t>
            </w:r>
            <w:proofErr w:type="gramStart"/>
            <w:r w:rsidRPr="00846B9D">
              <w:rPr>
                <w:rFonts w:ascii="Arial" w:hAnsi="Arial" w:cs="Arial"/>
                <w:sz w:val="20"/>
              </w:rPr>
              <w:t>case</w:t>
            </w:r>
            <w:proofErr w:type="gramEnd"/>
            <w:r w:rsidRPr="00846B9D">
              <w:rPr>
                <w:rFonts w:ascii="Arial" w:hAnsi="Arial" w:cs="Arial"/>
                <w:sz w:val="20"/>
              </w:rPr>
              <w:t xml:space="preserve"> mentioned above, what are the names of 3 junior most officers, who would have been downgraded to next year panel.</w:t>
            </w:r>
          </w:p>
        </w:tc>
        <w:tc>
          <w:tcPr>
            <w:tcW w:w="3420" w:type="dxa"/>
          </w:tcPr>
          <w:p w:rsidR="000E6A68" w:rsidRPr="00846B9D" w:rsidRDefault="000E6A68" w:rsidP="00AD4BD8">
            <w:pPr>
              <w:contextualSpacing/>
              <w:jc w:val="both"/>
              <w:rPr>
                <w:rFonts w:ascii="Arial" w:hAnsi="Arial" w:cs="Arial"/>
                <w:sz w:val="20"/>
              </w:rPr>
            </w:pPr>
            <w:r w:rsidRPr="00846B9D">
              <w:rPr>
                <w:rFonts w:ascii="Arial" w:hAnsi="Arial" w:cs="Arial"/>
                <w:sz w:val="20"/>
              </w:rPr>
              <w:t>Information sought is hypothetical and does not come under purview of the RTI Act.</w:t>
            </w:r>
          </w:p>
        </w:tc>
        <w:tc>
          <w:tcPr>
            <w:tcW w:w="1260" w:type="dxa"/>
          </w:tcPr>
          <w:p w:rsidR="000E6A68" w:rsidRPr="00846B9D" w:rsidRDefault="000E6A68" w:rsidP="00AD4BD8">
            <w:pPr>
              <w:contextualSpacing/>
              <w:rPr>
                <w:rFonts w:ascii="Arial" w:hAnsi="Arial" w:cs="Arial"/>
                <w:sz w:val="20"/>
              </w:rPr>
            </w:pPr>
          </w:p>
        </w:tc>
      </w:tr>
    </w:tbl>
    <w:p w:rsidR="000E6A68" w:rsidRPr="00846B9D" w:rsidRDefault="000E6A68" w:rsidP="000E6A68">
      <w:pPr>
        <w:spacing w:after="0" w:line="240" w:lineRule="auto"/>
        <w:ind w:left="720"/>
        <w:contextualSpacing/>
        <w:rPr>
          <w:rFonts w:ascii="Arial" w:hAnsi="Arial" w:cs="Arial"/>
          <w:sz w:val="20"/>
        </w:rPr>
      </w:pPr>
    </w:p>
    <w:p w:rsidR="000E6A68" w:rsidRPr="00846B9D" w:rsidRDefault="000E6A68" w:rsidP="000E6A68">
      <w:pPr>
        <w:spacing w:after="0" w:line="240" w:lineRule="auto"/>
        <w:ind w:left="720"/>
        <w:contextualSpacing/>
        <w:rPr>
          <w:rFonts w:ascii="Arial" w:hAnsi="Arial" w:cs="Arial"/>
          <w:sz w:val="20"/>
        </w:rPr>
      </w:pPr>
    </w:p>
    <w:p w:rsidR="000E6A68" w:rsidRPr="00846B9D" w:rsidRDefault="000E6A68" w:rsidP="000E6A68">
      <w:pPr>
        <w:spacing w:after="0" w:line="240" w:lineRule="auto"/>
        <w:ind w:left="720"/>
        <w:contextualSpacing/>
        <w:rPr>
          <w:rFonts w:ascii="Arial" w:hAnsi="Arial" w:cs="Arial"/>
          <w:sz w:val="20"/>
        </w:rPr>
      </w:pPr>
    </w:p>
    <w:p w:rsidR="000E6A68" w:rsidRPr="00846B9D" w:rsidRDefault="000E6A68" w:rsidP="000E6A68">
      <w:pPr>
        <w:spacing w:after="0" w:line="240" w:lineRule="auto"/>
        <w:ind w:left="720"/>
        <w:contextualSpacing/>
        <w:jc w:val="right"/>
        <w:rPr>
          <w:rFonts w:ascii="Arial" w:hAnsi="Arial" w:cs="Arial"/>
          <w:sz w:val="20"/>
        </w:rPr>
      </w:pPr>
      <w:proofErr w:type="gramStart"/>
      <w:r w:rsidRPr="00846B9D">
        <w:rPr>
          <w:rFonts w:ascii="Arial" w:hAnsi="Arial" w:cs="Arial"/>
          <w:sz w:val="20"/>
        </w:rPr>
        <w:t xml:space="preserve">( </w:t>
      </w:r>
      <w:proofErr w:type="spellStart"/>
      <w:r w:rsidRPr="00846B9D">
        <w:rPr>
          <w:rFonts w:ascii="Arial" w:hAnsi="Arial" w:cs="Arial"/>
          <w:sz w:val="20"/>
        </w:rPr>
        <w:t>Prabir</w:t>
      </w:r>
      <w:proofErr w:type="spellEnd"/>
      <w:proofErr w:type="gramEnd"/>
      <w:r w:rsidRPr="00846B9D">
        <w:rPr>
          <w:rFonts w:ascii="Arial" w:hAnsi="Arial" w:cs="Arial"/>
          <w:sz w:val="20"/>
        </w:rPr>
        <w:t xml:space="preserve"> Roy)</w:t>
      </w:r>
    </w:p>
    <w:p w:rsidR="000E6A68" w:rsidRPr="00846B9D" w:rsidRDefault="000E6A68" w:rsidP="000E6A68">
      <w:pPr>
        <w:spacing w:after="0" w:line="240" w:lineRule="auto"/>
        <w:ind w:left="720"/>
        <w:contextualSpacing/>
        <w:jc w:val="right"/>
        <w:rPr>
          <w:rFonts w:ascii="Arial" w:hAnsi="Arial" w:cs="Arial"/>
          <w:sz w:val="20"/>
        </w:rPr>
      </w:pPr>
      <w:r w:rsidRPr="00846B9D">
        <w:rPr>
          <w:rFonts w:ascii="Arial" w:hAnsi="Arial" w:cs="Arial"/>
          <w:sz w:val="20"/>
        </w:rPr>
        <w:t xml:space="preserve">Deputy Director, </w:t>
      </w:r>
      <w:proofErr w:type="spellStart"/>
      <w:r w:rsidRPr="00846B9D">
        <w:rPr>
          <w:rFonts w:ascii="Arial" w:hAnsi="Arial" w:cs="Arial"/>
          <w:sz w:val="20"/>
        </w:rPr>
        <w:t>Estt</w:t>
      </w:r>
      <w:proofErr w:type="spellEnd"/>
      <w:proofErr w:type="gramStart"/>
      <w:r w:rsidRPr="00846B9D">
        <w:rPr>
          <w:rFonts w:ascii="Arial" w:hAnsi="Arial" w:cs="Arial"/>
          <w:sz w:val="20"/>
        </w:rPr>
        <w:t>.(</w:t>
      </w:r>
      <w:proofErr w:type="gramEnd"/>
      <w:r w:rsidRPr="00846B9D">
        <w:rPr>
          <w:rFonts w:ascii="Arial" w:hAnsi="Arial" w:cs="Arial"/>
          <w:sz w:val="20"/>
        </w:rPr>
        <w:t>GP)-I</w:t>
      </w:r>
    </w:p>
    <w:p w:rsidR="000E6A68" w:rsidRPr="00846B9D" w:rsidRDefault="000E6A68" w:rsidP="000E6A68">
      <w:pPr>
        <w:spacing w:after="0" w:line="240" w:lineRule="auto"/>
        <w:ind w:left="720"/>
        <w:contextualSpacing/>
        <w:jc w:val="right"/>
        <w:rPr>
          <w:rFonts w:ascii="Arial" w:hAnsi="Arial" w:cs="Arial"/>
          <w:sz w:val="20"/>
        </w:rPr>
      </w:pPr>
      <w:r w:rsidRPr="00846B9D">
        <w:rPr>
          <w:rFonts w:ascii="Arial" w:hAnsi="Arial" w:cs="Arial"/>
          <w:sz w:val="20"/>
        </w:rPr>
        <w:t>Railway Board</w:t>
      </w:r>
    </w:p>
    <w:p w:rsidR="00C924F7" w:rsidRPr="000E6A68" w:rsidRDefault="00C924F7" w:rsidP="000E6A68"/>
    <w:sectPr w:rsidR="00C924F7" w:rsidRPr="000E6A68" w:rsidSect="00C1621D">
      <w:pgSz w:w="12240" w:h="15840"/>
      <w:pgMar w:top="1440" w:right="90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DE2"/>
    <w:rsid w:val="00013601"/>
    <w:rsid w:val="0004211F"/>
    <w:rsid w:val="000433E6"/>
    <w:rsid w:val="0004788D"/>
    <w:rsid w:val="000868F5"/>
    <w:rsid w:val="000C06AD"/>
    <w:rsid w:val="000D00F8"/>
    <w:rsid w:val="000E3DC8"/>
    <w:rsid w:val="000E6A68"/>
    <w:rsid w:val="000E7705"/>
    <w:rsid w:val="000F56D4"/>
    <w:rsid w:val="00106D7E"/>
    <w:rsid w:val="00137C3C"/>
    <w:rsid w:val="00152010"/>
    <w:rsid w:val="00156101"/>
    <w:rsid w:val="00166858"/>
    <w:rsid w:val="001752DA"/>
    <w:rsid w:val="00213A50"/>
    <w:rsid w:val="00222FA6"/>
    <w:rsid w:val="00226670"/>
    <w:rsid w:val="002632BC"/>
    <w:rsid w:val="00272B46"/>
    <w:rsid w:val="00286963"/>
    <w:rsid w:val="00286D31"/>
    <w:rsid w:val="002B0647"/>
    <w:rsid w:val="002B27AC"/>
    <w:rsid w:val="002C59E0"/>
    <w:rsid w:val="002F23E3"/>
    <w:rsid w:val="00302DF0"/>
    <w:rsid w:val="00364A7C"/>
    <w:rsid w:val="00366E06"/>
    <w:rsid w:val="0037514F"/>
    <w:rsid w:val="003764EF"/>
    <w:rsid w:val="00384AB8"/>
    <w:rsid w:val="00397346"/>
    <w:rsid w:val="00400E60"/>
    <w:rsid w:val="004015E1"/>
    <w:rsid w:val="00443EA4"/>
    <w:rsid w:val="0045488E"/>
    <w:rsid w:val="0047499F"/>
    <w:rsid w:val="004B26FD"/>
    <w:rsid w:val="00516423"/>
    <w:rsid w:val="005B43D5"/>
    <w:rsid w:val="005B7610"/>
    <w:rsid w:val="005D2ED0"/>
    <w:rsid w:val="005E2BEF"/>
    <w:rsid w:val="00612856"/>
    <w:rsid w:val="00626F5C"/>
    <w:rsid w:val="006571E6"/>
    <w:rsid w:val="00677CBD"/>
    <w:rsid w:val="00685324"/>
    <w:rsid w:val="006A0600"/>
    <w:rsid w:val="006C7D5C"/>
    <w:rsid w:val="006D4599"/>
    <w:rsid w:val="006E5B81"/>
    <w:rsid w:val="0075326E"/>
    <w:rsid w:val="007D7CF9"/>
    <w:rsid w:val="008265E0"/>
    <w:rsid w:val="00826BE8"/>
    <w:rsid w:val="008358C2"/>
    <w:rsid w:val="00840860"/>
    <w:rsid w:val="00865E6B"/>
    <w:rsid w:val="00880E48"/>
    <w:rsid w:val="008C6921"/>
    <w:rsid w:val="008E2787"/>
    <w:rsid w:val="00945378"/>
    <w:rsid w:val="00955059"/>
    <w:rsid w:val="0096002D"/>
    <w:rsid w:val="00963903"/>
    <w:rsid w:val="009956C1"/>
    <w:rsid w:val="009A4E35"/>
    <w:rsid w:val="009B59B2"/>
    <w:rsid w:val="009B694E"/>
    <w:rsid w:val="009E75C6"/>
    <w:rsid w:val="00A25B89"/>
    <w:rsid w:val="00A37503"/>
    <w:rsid w:val="00A910DD"/>
    <w:rsid w:val="00AE6192"/>
    <w:rsid w:val="00B00D42"/>
    <w:rsid w:val="00B470AA"/>
    <w:rsid w:val="00B51D88"/>
    <w:rsid w:val="00BB2C10"/>
    <w:rsid w:val="00BC4130"/>
    <w:rsid w:val="00BD1F44"/>
    <w:rsid w:val="00BE127A"/>
    <w:rsid w:val="00C054EF"/>
    <w:rsid w:val="00C11DE2"/>
    <w:rsid w:val="00C227CD"/>
    <w:rsid w:val="00C536AE"/>
    <w:rsid w:val="00C924F7"/>
    <w:rsid w:val="00CE6383"/>
    <w:rsid w:val="00D04641"/>
    <w:rsid w:val="00D21204"/>
    <w:rsid w:val="00D4178F"/>
    <w:rsid w:val="00D44F90"/>
    <w:rsid w:val="00D7698A"/>
    <w:rsid w:val="00D77AAC"/>
    <w:rsid w:val="00D86C2B"/>
    <w:rsid w:val="00DA4E0F"/>
    <w:rsid w:val="00E11FF3"/>
    <w:rsid w:val="00E225A0"/>
    <w:rsid w:val="00E53A5E"/>
    <w:rsid w:val="00E84C59"/>
    <w:rsid w:val="00E862AA"/>
    <w:rsid w:val="00EA3A3B"/>
    <w:rsid w:val="00EC3676"/>
    <w:rsid w:val="00F23880"/>
    <w:rsid w:val="00F80D78"/>
    <w:rsid w:val="00FC6416"/>
    <w:rsid w:val="00FD5D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D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Company>HP</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2012-11-10T20:01:00Z</dcterms:created>
  <dcterms:modified xsi:type="dcterms:W3CDTF">2012-11-10T20:01:00Z</dcterms:modified>
</cp:coreProperties>
</file>