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No: 103                                                                                  August 19, 2009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Chief Information Officer</w:t>
      </w:r>
    </w:p>
    <w:p w:rsidR="00B00616" w:rsidRPr="00B00616" w:rsidRDefault="00B00616" w:rsidP="00B006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Ministry of Railways</w:t>
      </w:r>
    </w:p>
    <w:p w:rsidR="00B00616" w:rsidRPr="00B00616" w:rsidRDefault="00B00616" w:rsidP="00B006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Railway Board</w:t>
      </w:r>
    </w:p>
    <w:p w:rsidR="00B00616" w:rsidRPr="00B00616" w:rsidRDefault="00B00616" w:rsidP="00B006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Rail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Bhawan</w:t>
      </w:r>
      <w:proofErr w:type="spellEnd"/>
    </w:p>
    <w:p w:rsidR="00B00616" w:rsidRPr="00B00616" w:rsidRDefault="00B00616" w:rsidP="00B006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New Delhi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 Sir Check 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it ,&amp;</w:t>
      </w:r>
      <w:proofErr w:type="gram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may correct in different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colour</w:t>
      </w:r>
      <w:proofErr w:type="spellEnd"/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FF00FF"/>
          <w:sz w:val="24"/>
          <w:szCs w:val="24"/>
        </w:rPr>
        <w:t>        Item</w:t>
      </w:r>
      <w:proofErr w:type="gramStart"/>
      <w:r w:rsidRPr="00B00616">
        <w:rPr>
          <w:rFonts w:ascii="Arial" w:eastAsia="Times New Roman" w:hAnsi="Arial" w:cs="Arial"/>
          <w:color w:val="FF00FF"/>
          <w:sz w:val="24"/>
          <w:szCs w:val="24"/>
        </w:rPr>
        <w:t>  10</w:t>
      </w:r>
      <w:proofErr w:type="gramEnd"/>
      <w:r w:rsidRPr="00B00616">
        <w:rPr>
          <w:rFonts w:ascii="Arial" w:eastAsia="Times New Roman" w:hAnsi="Arial" w:cs="Arial"/>
          <w:color w:val="FF00FF"/>
          <w:sz w:val="24"/>
          <w:szCs w:val="24"/>
        </w:rPr>
        <w:t xml:space="preserve">  </w:t>
      </w:r>
      <w:proofErr w:type="spellStart"/>
      <w:r w:rsidRPr="00B00616">
        <w:rPr>
          <w:rFonts w:ascii="Arial" w:eastAsia="Times New Roman" w:hAnsi="Arial" w:cs="Arial"/>
          <w:color w:val="FF00FF"/>
          <w:sz w:val="24"/>
          <w:szCs w:val="24"/>
        </w:rPr>
        <w:t>requre</w:t>
      </w:r>
      <w:proofErr w:type="spellEnd"/>
      <w:r w:rsidRPr="00B00616">
        <w:rPr>
          <w:rFonts w:ascii="Arial" w:eastAsia="Times New Roman" w:hAnsi="Arial" w:cs="Arial"/>
          <w:color w:val="FF00FF"/>
          <w:sz w:val="24"/>
          <w:szCs w:val="24"/>
        </w:rPr>
        <w:t xml:space="preserve"> more attention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</w:t>
      </w: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Sub:    Information sought under Right To Information</w:t>
      </w:r>
      <w:proofErr w:type="gramStart"/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Act</w:t>
      </w:r>
      <w:proofErr w:type="gramEnd"/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         2005.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                                *****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1.  What was the number of officers on roll in Traffic Department, year of entry in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Gp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. ‘B’ wise and zonal railway wise which were considered for vacancy calculations, for the induction in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Gp</w:t>
      </w:r>
      <w:proofErr w:type="spellEnd"/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‘A’ for vacancies of 2004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  (</w:t>
      </w:r>
      <w:proofErr w:type="gramEnd"/>
      <w:r w:rsidRPr="00B00616">
        <w:rPr>
          <w:rFonts w:ascii="Arial" w:eastAsia="Times New Roman" w:hAnsi="Arial" w:cs="Arial"/>
          <w:color w:val="222222"/>
          <w:sz w:val="24"/>
          <w:szCs w:val="24"/>
        </w:rPr>
        <w:t>Panel year 2005-06) and 2005 (panel year 2006-07).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2.  Indicate their names General/SC/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ST ,</w:t>
      </w:r>
      <w:proofErr w:type="gram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Rly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yearwise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3.  What was the vacancy distribution railway wise,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Genl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/SC/ST 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wise.</w:t>
      </w:r>
      <w:proofErr w:type="gramEnd"/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4.  What was the formula adopted for vacancy years 2005-06 &amp; 2006-07 of Traffic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Deptt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with</w:t>
      </w:r>
      <w:proofErr w:type="gram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reasons thereof.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5.  Give the copy of minutes of the DPCs for these 2 years, indicating the names of officers, selected, unfit, under seal cover or those retired without being notified.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6.  Whether there were certain zonal railways, which were not allotted even a single vacancy, if so the reasons thereof.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7.  Whether it did not violate the general rule of vacancies, distribution, wherein all railways should be represented, in the list, if so the reasons thereof.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8.  Why the Northern Railway which had approximately 20 vacancies for two years, did not have adequate number of SC/ST posts in vacancy calculation.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9.  Please supply copy of the complete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notings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wherein vacancy distribution was decided for these 2 years.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48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10.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  Whether</w:t>
      </w:r>
      <w:proofErr w:type="gram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Gp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. ‘B’ officers, who were later inducted in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Gp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. ‘B’ and have been assigned seniorities quite above 9 in 1993/1994), have been considered for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Gp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>. ‘A’ induction at their appropriate place.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lastRenderedPageBreak/>
        <w:t>11.  If no, the reasons thereof.</w:t>
      </w:r>
    </w:p>
    <w:p w:rsidR="00B00616" w:rsidRPr="00B00616" w:rsidRDefault="00B00616" w:rsidP="00B00616">
      <w:pPr>
        <w:spacing w:after="0" w:line="240" w:lineRule="auto"/>
        <w:ind w:left="84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ind w:left="480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12.  If yes, whether their result has been declared, if not, by when it is expected, what are the reasons of delay.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DA:  Attached Postal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        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Order No.</w:t>
      </w:r>
      <w:proofErr w:type="gramEnd"/>
      <w:r w:rsidRPr="00B00616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</w:t>
      </w:r>
      <w:proofErr w:type="gram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( </w:t>
      </w:r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>B.P.Singh</w:t>
      </w:r>
      <w:proofErr w:type="gramEnd"/>
      <w:r w:rsidRPr="00B0061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)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                                                Advocate,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Tis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0616">
        <w:rPr>
          <w:rFonts w:ascii="Arial" w:eastAsia="Times New Roman" w:hAnsi="Arial" w:cs="Arial"/>
          <w:color w:val="222222"/>
          <w:sz w:val="24"/>
          <w:szCs w:val="24"/>
        </w:rPr>
        <w:t>Hazari</w:t>
      </w:r>
      <w:proofErr w:type="spellEnd"/>
      <w:r w:rsidRPr="00B00616">
        <w:rPr>
          <w:rFonts w:ascii="Arial" w:eastAsia="Times New Roman" w:hAnsi="Arial" w:cs="Arial"/>
          <w:color w:val="222222"/>
          <w:sz w:val="24"/>
          <w:szCs w:val="24"/>
        </w:rPr>
        <w:t xml:space="preserve"> Court</w:t>
      </w:r>
    </w:p>
    <w:p w:rsidR="00B00616" w:rsidRPr="00B00616" w:rsidRDefault="00B00616" w:rsidP="00B00616">
      <w:pPr>
        <w:spacing w:after="0" w:line="240" w:lineRule="auto"/>
        <w:rPr>
          <w:rFonts w:ascii="Arial" w:eastAsia="Times New Roman" w:hAnsi="Arial" w:cs="Arial"/>
          <w:color w:val="222222"/>
          <w:sz w:val="20"/>
        </w:rPr>
      </w:pPr>
      <w:r w:rsidRPr="00B00616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Delhi</w:t>
      </w:r>
    </w:p>
    <w:p w:rsidR="00FE2538" w:rsidRDefault="00FE2538"/>
    <w:sectPr w:rsidR="00FE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616"/>
    <w:rsid w:val="00B00616"/>
    <w:rsid w:val="00FE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2011-12-07T17:12:00Z</dcterms:created>
  <dcterms:modified xsi:type="dcterms:W3CDTF">2011-12-07T17:12:00Z</dcterms:modified>
</cp:coreProperties>
</file>